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39" w:rsidRDefault="001D7C14">
      <w:pPr>
        <w:pStyle w:val="Gvdemetni20"/>
        <w:shd w:val="clear" w:color="auto" w:fill="auto"/>
        <w:ind w:left="740"/>
      </w:pPr>
      <w:bookmarkStart w:id="0" w:name="_GoBack"/>
      <w:bookmarkEnd w:id="0"/>
      <w:r>
        <w:t>T.C.</w:t>
      </w:r>
    </w:p>
    <w:p w:rsidR="00A67839" w:rsidRDefault="001D7C14">
      <w:pPr>
        <w:pStyle w:val="Gvdemetni20"/>
        <w:shd w:val="clear" w:color="auto" w:fill="auto"/>
        <w:ind w:left="60" w:right="360"/>
        <w:sectPr w:rsidR="00A67839">
          <w:type w:val="continuous"/>
          <w:pgSz w:w="11905" w:h="16837"/>
          <w:pgMar w:top="1226" w:right="4748" w:bottom="1471" w:left="4993" w:header="0" w:footer="3" w:gutter="0"/>
          <w:cols w:space="720"/>
          <w:noEndnote/>
          <w:docGrid w:linePitch="360"/>
        </w:sectPr>
      </w:pPr>
      <w:r>
        <w:t>BAŞBAKANLIK Hazine Müsteşarlığı</w:t>
      </w:r>
    </w:p>
    <w:p w:rsidR="00A67839" w:rsidRDefault="00A67839">
      <w:pPr>
        <w:framePr w:w="11285" w:h="806" w:hRule="exact" w:wrap="notBeside" w:vAnchor="text" w:hAnchor="text" w:xAlign="center" w:y="1" w:anchorLock="1"/>
      </w:pPr>
    </w:p>
    <w:p w:rsidR="00A67839" w:rsidRDefault="001D7C14">
      <w:pPr>
        <w:rPr>
          <w:sz w:val="2"/>
          <w:szCs w:val="2"/>
        </w:rPr>
        <w:sectPr w:rsidR="00A6783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67839" w:rsidRDefault="001D7C14">
      <w:pPr>
        <w:pStyle w:val="Gvdemetni20"/>
        <w:shd w:val="clear" w:color="auto" w:fill="auto"/>
        <w:spacing w:after="128" w:line="220" w:lineRule="exact"/>
      </w:pPr>
      <w:proofErr w:type="gramStart"/>
      <w:r>
        <w:lastRenderedPageBreak/>
        <w:t>Sayı : 27424242</w:t>
      </w:r>
      <w:proofErr w:type="gramEnd"/>
      <w:r>
        <w:t>-302.99/4662</w:t>
      </w:r>
    </w:p>
    <w:p w:rsidR="00A67839" w:rsidRDefault="001D7C14">
      <w:pPr>
        <w:pStyle w:val="Gvdemetni20"/>
        <w:shd w:val="clear" w:color="auto" w:fill="auto"/>
        <w:spacing w:after="586" w:line="220" w:lineRule="exact"/>
      </w:pPr>
      <w:proofErr w:type="gramStart"/>
      <w:r>
        <w:t>Konu : Sektör</w:t>
      </w:r>
      <w:proofErr w:type="gramEnd"/>
      <w:r>
        <w:t xml:space="preserve"> Duyurusu</w:t>
      </w:r>
    </w:p>
    <w:p w:rsidR="00A67839" w:rsidRDefault="001D7C14">
      <w:pPr>
        <w:pStyle w:val="Gvdemetni20"/>
        <w:shd w:val="clear" w:color="auto" w:fill="auto"/>
        <w:spacing w:after="492" w:line="220" w:lineRule="exact"/>
        <w:ind w:firstLine="680"/>
        <w:jc w:val="both"/>
      </w:pPr>
      <w:r>
        <w:t>TÜRKİYE SİGORTA REASÜRANS VE EMEKLİLİK ŞİRKETLERİ BİRLİĞİ NE</w:t>
      </w:r>
    </w:p>
    <w:p w:rsidR="00A67839" w:rsidRDefault="001D7C14">
      <w:pPr>
        <w:pStyle w:val="Gvdemetni20"/>
        <w:framePr w:h="220" w:wrap="around" w:hAnchor="margin" w:x="7725" w:y="1369"/>
        <w:shd w:val="clear" w:color="auto" w:fill="auto"/>
        <w:spacing w:line="220" w:lineRule="exact"/>
        <w:ind w:left="100"/>
      </w:pPr>
      <w:r>
        <w:t>13.02.2015</w:t>
      </w:r>
    </w:p>
    <w:p w:rsidR="00A67839" w:rsidRDefault="001D7C14">
      <w:pPr>
        <w:pStyle w:val="Gvdemetni20"/>
        <w:shd w:val="clear" w:color="auto" w:fill="auto"/>
        <w:spacing w:after="246" w:line="302" w:lineRule="exact"/>
        <w:ind w:right="240" w:firstLine="680"/>
        <w:jc w:val="both"/>
      </w:pPr>
      <w:r>
        <w:t>2015/7 sayılı "</w:t>
      </w:r>
      <w:r>
        <w:t>Karayolları Motorlu Araçlar Zorunlu Mali Sorumluluk Sigortası Poliçeleri Düzenlenirken Şirket Nev'i Değişikliklerine İlişkin Sektör Duyurusunun" bir örneği ekte yer almaktadır.</w:t>
      </w:r>
    </w:p>
    <w:p w:rsidR="00A67839" w:rsidRDefault="001D7C14">
      <w:pPr>
        <w:pStyle w:val="Gvdemetni40"/>
        <w:framePr w:w="1286" w:h="685" w:wrap="around" w:vAnchor="text" w:hAnchor="margin" w:x="7506" w:y="8772"/>
        <w:shd w:val="clear" w:color="auto" w:fill="auto"/>
        <w:ind w:left="120" w:right="100"/>
      </w:pPr>
      <w:r>
        <w:t>Ayrıntılı bilgi için: Y.LAÇİNBALA</w:t>
      </w:r>
    </w:p>
    <w:p w:rsidR="00A67839" w:rsidRDefault="001D7C14">
      <w:pPr>
        <w:pStyle w:val="Gvdemetni40"/>
        <w:framePr w:w="1286" w:h="685" w:wrap="around" w:vAnchor="text" w:hAnchor="margin" w:x="7506" w:y="8772"/>
        <w:shd w:val="clear" w:color="auto" w:fill="auto"/>
        <w:spacing w:line="168" w:lineRule="exact"/>
        <w:ind w:left="120" w:right="100"/>
      </w:pPr>
      <w:r>
        <w:t>Hazine Uzman Yardımcısı</w:t>
      </w:r>
    </w:p>
    <w:p w:rsidR="00A67839" w:rsidRDefault="001D7C14">
      <w:pPr>
        <w:pStyle w:val="Gvdemetni40"/>
        <w:framePr w:w="6874" w:h="533" w:wrap="notBeside" w:vAnchor="text" w:hAnchor="margin" w:x="-54" w:y="8761"/>
        <w:shd w:val="clear" w:color="auto" w:fill="auto"/>
        <w:jc w:val="left"/>
      </w:pPr>
      <w:r>
        <w:t xml:space="preserve">T.C. Başbakanlık Hazine Müsteşarlığı, İnönü Bulvarı, No:36 06510, Emek, ÇANKAYA/ANKARA Telefon No: +90 (312) 204 6422 Belge Geçer No: +90 (312) 204 7487 e-posta: </w:t>
      </w:r>
      <w:hyperlink r:id="rId7" w:history="1">
        <w:r>
          <w:rPr>
            <w:rStyle w:val="Kpr"/>
            <w:lang w:val="en-US"/>
          </w:rPr>
          <w:t>bilgiedinme@hazine.gov.tr</w:t>
        </w:r>
      </w:hyperlink>
      <w:r>
        <w:rPr>
          <w:lang w:val="en-US"/>
        </w:rPr>
        <w:t xml:space="preserve"> </w:t>
      </w:r>
      <w:r>
        <w:t xml:space="preserve">internet adresi: </w:t>
      </w:r>
      <w:hyperlink r:id="rId8" w:history="1">
        <w:r>
          <w:rPr>
            <w:rStyle w:val="Kpr"/>
            <w:lang w:val="en-US"/>
          </w:rPr>
          <w:t>www.hazine.gov.tr</w:t>
        </w:r>
      </w:hyperlink>
    </w:p>
    <w:p w:rsidR="00A67839" w:rsidRDefault="001D7C14">
      <w:pPr>
        <w:pStyle w:val="Gvdemetni20"/>
        <w:shd w:val="clear" w:color="auto" w:fill="auto"/>
        <w:spacing w:after="786" w:line="220" w:lineRule="exact"/>
        <w:ind w:firstLine="680"/>
        <w:jc w:val="both"/>
      </w:pPr>
      <w:r>
        <w:t>Bilgi edinilmesini rica ederim.</w:t>
      </w:r>
    </w:p>
    <w:p w:rsidR="00A67839" w:rsidRDefault="001D7C14">
      <w:pPr>
        <w:pStyle w:val="Gvdemetni20"/>
        <w:shd w:val="clear" w:color="auto" w:fill="auto"/>
        <w:spacing w:after="362" w:line="298" w:lineRule="exact"/>
        <w:ind w:right="1440"/>
        <w:jc w:val="center"/>
      </w:pPr>
      <w:r>
        <w:t>Gökhan KARASU Müsteşar a. Genel Müdür Yrd. V.</w:t>
      </w:r>
    </w:p>
    <w:p w:rsidR="00A67839" w:rsidRDefault="001D7C14">
      <w:pPr>
        <w:pStyle w:val="Gvdemetni20"/>
        <w:shd w:val="clear" w:color="auto" w:fill="auto"/>
        <w:spacing w:after="128" w:line="220" w:lineRule="exact"/>
      </w:pPr>
      <w:r>
        <w:t>EK</w:t>
      </w:r>
    </w:p>
    <w:p w:rsidR="00A67839" w:rsidRDefault="001D7C14">
      <w:pPr>
        <w:pStyle w:val="Gvdemetni20"/>
        <w:shd w:val="clear" w:color="auto" w:fill="auto"/>
        <w:spacing w:after="5448" w:line="220" w:lineRule="exact"/>
      </w:pPr>
      <w:r>
        <w:t>1 adet Sektör Duyurusu</w:t>
      </w:r>
    </w:p>
    <w:p w:rsidR="00A67839" w:rsidRDefault="001D7C14">
      <w:pPr>
        <w:pStyle w:val="Gvdemetni30"/>
        <w:shd w:val="clear" w:color="auto" w:fill="auto"/>
        <w:spacing w:before="0" w:line="140" w:lineRule="exact"/>
        <w:ind w:left="1260"/>
      </w:pPr>
      <w:r>
        <w:t>Not: 5070 sayılı Elektronik İmza Kanunu çerçevesinde güvenli elektronik imzalı aslı ile aynıdır.</w:t>
      </w:r>
      <w:r>
        <w:br w:type="page"/>
      </w:r>
    </w:p>
    <w:p w:rsidR="00A67839" w:rsidRDefault="001D7C14">
      <w:pPr>
        <w:pStyle w:val="Gvdemetni0"/>
        <w:shd w:val="clear" w:color="auto" w:fill="auto"/>
        <w:spacing w:after="1001" w:line="250" w:lineRule="exact"/>
        <w:ind w:left="20"/>
      </w:pPr>
      <w:proofErr w:type="spellStart"/>
      <w:r>
        <w:rPr>
          <w:rStyle w:val="Gvdemetni1"/>
        </w:rPr>
        <w:lastRenderedPageBreak/>
        <w:t>Hazîne</w:t>
      </w:r>
      <w:proofErr w:type="spellEnd"/>
      <w:r>
        <w:rPr>
          <w:rStyle w:val="Gvdemetni1"/>
        </w:rPr>
        <w:t xml:space="preserve"> </w:t>
      </w:r>
      <w:proofErr w:type="spellStart"/>
      <w:r>
        <w:rPr>
          <w:rStyle w:val="Gvdemetni1"/>
        </w:rPr>
        <w:t>MÜstesarlı&amp;mdaa</w:t>
      </w:r>
      <w:proofErr w:type="spellEnd"/>
    </w:p>
    <w:p w:rsidR="00A67839" w:rsidRDefault="001D7C14">
      <w:pPr>
        <w:pStyle w:val="Gvdemetni0"/>
        <w:shd w:val="clear" w:color="auto" w:fill="auto"/>
        <w:spacing w:after="0" w:line="264" w:lineRule="exact"/>
        <w:ind w:left="1020" w:right="360"/>
      </w:pPr>
      <w:r>
        <w:t>Karayolları Motorla Araçlar Zorunla Mali Sorumluluk Sigortası Poliçeleri Düzenlenirken Şirket Nev'i Değişikliklerine İlişkin Sektör Duyurusu</w:t>
      </w:r>
    </w:p>
    <w:p w:rsidR="00A67839" w:rsidRDefault="001D7C14">
      <w:pPr>
        <w:pStyle w:val="Gvdemetni50"/>
        <w:shd w:val="clear" w:color="auto" w:fill="auto"/>
        <w:spacing w:after="213"/>
        <w:ind w:left="4640"/>
      </w:pPr>
      <w:r>
        <w:t>(2015/7)</w:t>
      </w:r>
    </w:p>
    <w:p w:rsidR="00A67839" w:rsidRDefault="001D7C14">
      <w:pPr>
        <w:pStyle w:val="Gvdemetni0"/>
        <w:shd w:val="clear" w:color="auto" w:fill="auto"/>
        <w:spacing w:after="271" w:line="298" w:lineRule="exact"/>
        <w:ind w:left="20" w:right="20" w:firstLine="700"/>
        <w:jc w:val="both"/>
      </w:pPr>
      <w:proofErr w:type="gramStart"/>
      <w:r>
        <w:t>Bilindiği üzere, Müsteşarlığımız tarafından istihsal edilen 21 Kasım 2014 tarihli v</w:t>
      </w:r>
      <w:r>
        <w:t>e 2014/28 sayılı "Karayolları Motorla Araçlar Zorunlu Mali Sorumluluk Sigortası Poliçeleri Düzenlenirken Şirket Nev'i Değişiklikleri ve Leasing Şirketlerine Kayıtlı Araçların Mülkiyet Devirlerine İlişkin Sektör Duyurusu" ile Karayolları Motorlu Araçlar Zor</w:t>
      </w:r>
      <w:r>
        <w:t>unlu Mali Sorumluluk Sigortası (Trafik Sigortası) kapsamında şirketlerin nev'i değişikliği sonrası düzenlenecek Trafik Sigortası poliçelerinde, ilgililerin talebi üzerine, nev'i değiştiren şirketin sahip olduğu hasarsızlık indirim hakkının yeni düzenlenece</w:t>
      </w:r>
      <w:r>
        <w:t xml:space="preserve">k poliçelerde </w:t>
      </w:r>
      <w:proofErr w:type="spellStart"/>
      <w:r>
        <w:rPr>
          <w:rStyle w:val="Gvdemetni1"/>
        </w:rPr>
        <w:t>Hiklrnfe</w:t>
      </w:r>
      <w:proofErr w:type="spellEnd"/>
      <w:r>
        <w:rPr>
          <w:rStyle w:val="Gvdemetni1"/>
        </w:rPr>
        <w:t xml:space="preserve"> alınmas</w:t>
      </w:r>
      <w:r>
        <w:t>ı gerektiği ifade edilmiştir.</w:t>
      </w:r>
      <w:proofErr w:type="gramEnd"/>
    </w:p>
    <w:p w:rsidR="00A67839" w:rsidRDefault="001D7C14">
      <w:pPr>
        <w:pStyle w:val="Gvdemetni0"/>
        <w:shd w:val="clear" w:color="auto" w:fill="auto"/>
        <w:spacing w:after="240" w:line="259" w:lineRule="exact"/>
        <w:ind w:left="20" w:right="20" w:firstLine="700"/>
        <w:jc w:val="both"/>
      </w:pPr>
      <w:r>
        <w:t>Ancak sigortacılık sektöründen gelen başvurularda, sigortalı araç malikinin şahıstan şirkete çevrilmesi durumunda hasarsızlık indirim haklarının devam edip etmeyeceği hususunun açıklığa kavuşturul</w:t>
      </w:r>
      <w:r>
        <w:t>ması talep edilmektedir.</w:t>
      </w:r>
    </w:p>
    <w:p w:rsidR="00A67839" w:rsidRDefault="001D7C14">
      <w:pPr>
        <w:pStyle w:val="Gvdemetni0"/>
        <w:shd w:val="clear" w:color="auto" w:fill="auto"/>
        <w:spacing w:after="206" w:line="259" w:lineRule="exact"/>
        <w:ind w:left="20" w:right="20" w:firstLine="700"/>
        <w:jc w:val="both"/>
      </w:pPr>
      <w:r>
        <w:t>Bu kapsamda, ilgili Sektör Duyurusunda yeni düzenlenecek poliçelerde indirim hakkının devamı açık bir şekilde nev'i değiştiren şirketler ve leasing kiracıları ile sınırlandırılmış olup sigortalı araç malikinin şahıstan şirkete çevr</w:t>
      </w:r>
      <w:r>
        <w:t>ilmesi dur</w:t>
      </w:r>
      <w:r>
        <w:rPr>
          <w:rStyle w:val="Gvdemetni1"/>
        </w:rPr>
        <w:t>umu</w:t>
      </w:r>
      <w:r>
        <w:t xml:space="preserve">nda ise söz konusu basamak indirim hakkının kullanılmasına </w:t>
      </w:r>
      <w:proofErr w:type="gramStart"/>
      <w:r>
        <w:t>imkan</w:t>
      </w:r>
      <w:proofErr w:type="gramEnd"/>
      <w:r>
        <w:t xml:space="preserve"> tanınmamıştır.</w:t>
      </w:r>
    </w:p>
    <w:p w:rsidR="00A67839" w:rsidRDefault="001D7C14">
      <w:pPr>
        <w:pStyle w:val="Gvdemetni60"/>
        <w:framePr w:h="235" w:wrap="around" w:hAnchor="margin" w:x="7749" w:y="1527"/>
        <w:shd w:val="clear" w:color="auto" w:fill="auto"/>
        <w:spacing w:line="190" w:lineRule="exact"/>
        <w:ind w:left="100"/>
      </w:pPr>
      <w:r>
        <w:t>ll.02.20lf</w:t>
      </w:r>
    </w:p>
    <w:p w:rsidR="00A67839" w:rsidRDefault="001D7C14">
      <w:pPr>
        <w:pStyle w:val="Gvdemetni0"/>
        <w:shd w:val="clear" w:color="auto" w:fill="auto"/>
        <w:spacing w:after="0" w:line="302" w:lineRule="exact"/>
        <w:ind w:left="20" w:right="20" w:firstLine="700"/>
        <w:jc w:val="both"/>
      </w:pPr>
      <w:proofErr w:type="gramStart"/>
      <w:r>
        <w:t>öte</w:t>
      </w:r>
      <w:proofErr w:type="gramEnd"/>
      <w:r>
        <w:t xml:space="preserve"> yandan, tarife serbestisi paralelinde, sigorta şirketlerinin sigortalı araç </w:t>
      </w:r>
      <w:r>
        <w:rPr>
          <w:rStyle w:val="Gvdemetni1"/>
        </w:rPr>
        <w:t xml:space="preserve">malikinin </w:t>
      </w:r>
      <w:r>
        <w:t xml:space="preserve">şahıstan şirkete çevrilmesi durumunu dikkate </w:t>
      </w:r>
      <w:proofErr w:type="spellStart"/>
      <w:r>
        <w:rPr>
          <w:rStyle w:val="Gvdemetni1"/>
        </w:rPr>
        <w:t>nlmak</w:t>
      </w:r>
      <w:proofErr w:type="spellEnd"/>
      <w:r>
        <w:t xml:space="preserve"> istemeleri halinde, bu durumun Tarife </w:t>
      </w:r>
      <w:r>
        <w:rPr>
          <w:rStyle w:val="Gvdemetni95ptKaln0ptbolukbraklyor"/>
        </w:rPr>
        <w:t>p</w:t>
      </w:r>
      <w:r>
        <w:rPr>
          <w:rStyle w:val="Gvdemetni95ptKaln0ptbolukbraklyor0"/>
        </w:rPr>
        <w:t>riminin</w:t>
      </w:r>
      <w:r>
        <w:t xml:space="preserve"> belirlenmesinde kullanılan parametreler arasına eklenmesi ile mümkün olabileceği de i Tahtan varestedir.</w:t>
      </w:r>
    </w:p>
    <w:sectPr w:rsidR="00A67839">
      <w:type w:val="continuous"/>
      <w:pgSz w:w="11905" w:h="16837"/>
      <w:pgMar w:top="1033" w:right="706" w:bottom="2209" w:left="17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C14" w:rsidRDefault="001D7C14">
      <w:r>
        <w:separator/>
      </w:r>
    </w:p>
  </w:endnote>
  <w:endnote w:type="continuationSeparator" w:id="0">
    <w:p w:rsidR="001D7C14" w:rsidRDefault="001D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C14" w:rsidRDefault="001D7C14"/>
  </w:footnote>
  <w:footnote w:type="continuationSeparator" w:id="0">
    <w:p w:rsidR="001D7C14" w:rsidRDefault="001D7C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39"/>
    <w:rsid w:val="001D7C14"/>
    <w:rsid w:val="00A67839"/>
    <w:rsid w:val="00CC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4">
    <w:name w:val="Gövde metni (4)_"/>
    <w:basedOn w:val="VarsaylanParagrafYazTipi"/>
    <w:link w:val="Gvdemetn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Gvdemetni6">
    <w:name w:val="Gövde metni (6)_"/>
    <w:basedOn w:val="VarsaylanParagrafYazTipi"/>
    <w:link w:val="Gvdemetn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  <w:u w:val="single"/>
    </w:rPr>
  </w:style>
  <w:style w:type="character" w:customStyle="1" w:styleId="Gvdemetni5">
    <w:name w:val="Gövde metni (5)_"/>
    <w:basedOn w:val="VarsaylanParagrafYazTipi"/>
    <w:link w:val="Gvdemetn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Gvdemetni95ptKaln0ptbolukbraklyor">
    <w:name w:val="Gövde metni + 9;5 pt;Kalın;0 pt boşluk bırakılıyor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Gvdemetni95ptKaln0ptbolukbraklyor0">
    <w:name w:val="Gövde metni + 9;5 pt;Kalın;0 pt boşluk bırakılıyor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Gvdemetni60">
    <w:name w:val="Gövde metni (6)"/>
    <w:basedOn w:val="Normal"/>
    <w:link w:val="Gvdemetn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54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1080" w:line="0" w:lineRule="atLeast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after="240" w:line="264" w:lineRule="exact"/>
    </w:pPr>
    <w:rPr>
      <w:rFonts w:ascii="Times New Roman" w:eastAsia="Times New Roman" w:hAnsi="Times New Roman" w:cs="Times New Roman"/>
      <w:b/>
      <w:bCs/>
      <w:spacing w:val="-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4">
    <w:name w:val="Gövde metni (4)_"/>
    <w:basedOn w:val="VarsaylanParagrafYazTipi"/>
    <w:link w:val="Gvdemetn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Gvdemetni6">
    <w:name w:val="Gövde metni (6)_"/>
    <w:basedOn w:val="VarsaylanParagrafYazTipi"/>
    <w:link w:val="Gvdemetn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  <w:u w:val="single"/>
    </w:rPr>
  </w:style>
  <w:style w:type="character" w:customStyle="1" w:styleId="Gvdemetni5">
    <w:name w:val="Gövde metni (5)_"/>
    <w:basedOn w:val="VarsaylanParagrafYazTipi"/>
    <w:link w:val="Gvdemetn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Gvdemetni95ptKaln0ptbolukbraklyor">
    <w:name w:val="Gövde metni + 9;5 pt;Kalın;0 pt boşluk bırakılıyor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Gvdemetni95ptKaln0ptbolukbraklyor0">
    <w:name w:val="Gövde metni + 9;5 pt;Kalın;0 pt boşluk bırakılıyor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Gvdemetni60">
    <w:name w:val="Gövde metni (6)"/>
    <w:basedOn w:val="Normal"/>
    <w:link w:val="Gvdemetn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54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1080" w:line="0" w:lineRule="atLeast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after="240" w:line="264" w:lineRule="exact"/>
    </w:pPr>
    <w:rPr>
      <w:rFonts w:ascii="Times New Roman" w:eastAsia="Times New Roman" w:hAnsi="Times New Roman" w:cs="Times New Roman"/>
      <w:b/>
      <w:bCs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zine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lgiedinme@hazine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mehmetgokhan</dc:creator>
  <cp:lastModifiedBy>mehmetgokhan</cp:lastModifiedBy>
  <cp:revision>1</cp:revision>
  <dcterms:created xsi:type="dcterms:W3CDTF">2015-10-05T11:32:00Z</dcterms:created>
  <dcterms:modified xsi:type="dcterms:W3CDTF">2015-10-05T11:33:00Z</dcterms:modified>
</cp:coreProperties>
</file>