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4" w:lineRule="exact" w:before="56"/>
        <w:ind w:left="1747" w:right="1740" w:firstLine="0"/>
        <w:jc w:val="center"/>
      </w:pPr>
      <w:r>
        <w:rPr/>
        <w:t>BAĞIMSIZ DENETÇİLİK MESLEKİ SORUMLULUK SİGORTASI GENEL ŞARTLARI</w:t>
      </w:r>
    </w:p>
    <w:p>
      <w:pPr>
        <w:pStyle w:val="BodyText"/>
        <w:spacing w:before="8"/>
        <w:rPr>
          <w:b/>
          <w:sz w:val="23"/>
        </w:rPr>
      </w:pPr>
    </w:p>
    <w:p>
      <w:pPr>
        <w:spacing w:before="0"/>
        <w:ind w:left="1747" w:right="1740" w:firstLine="0"/>
        <w:jc w:val="center"/>
        <w:rPr>
          <w:b/>
          <w:sz w:val="24"/>
        </w:rPr>
      </w:pPr>
      <w:r>
        <w:rPr>
          <w:b/>
          <w:sz w:val="24"/>
        </w:rPr>
        <w:t>(Onay Tarihi:16/5/2013)</w:t>
      </w:r>
    </w:p>
    <w:p>
      <w:pPr>
        <w:pStyle w:val="BodyText"/>
        <w:rPr>
          <w:b/>
        </w:rPr>
      </w:pPr>
    </w:p>
    <w:p>
      <w:pPr>
        <w:pStyle w:val="ListParagraph"/>
        <w:numPr>
          <w:ilvl w:val="0"/>
          <w:numId w:val="1"/>
        </w:numPr>
        <w:tabs>
          <w:tab w:pos="414" w:val="left" w:leader="none"/>
        </w:tabs>
        <w:spacing w:line="240" w:lineRule="auto" w:before="0" w:after="0"/>
        <w:ind w:left="413" w:right="0" w:hanging="297"/>
        <w:jc w:val="both"/>
        <w:rPr>
          <w:b/>
          <w:sz w:val="24"/>
        </w:rPr>
      </w:pPr>
      <w:r>
        <w:rPr>
          <w:b/>
          <w:sz w:val="24"/>
        </w:rPr>
        <w:t>SİGORTANIN</w:t>
      </w:r>
      <w:r>
        <w:rPr>
          <w:b/>
          <w:spacing w:val="-10"/>
          <w:sz w:val="24"/>
        </w:rPr>
        <w:t> </w:t>
      </w:r>
      <w:r>
        <w:rPr>
          <w:b/>
          <w:sz w:val="24"/>
        </w:rPr>
        <w:t>KAPSAMI</w:t>
      </w:r>
    </w:p>
    <w:p>
      <w:pPr>
        <w:pStyle w:val="BodyText"/>
        <w:rPr>
          <w:b/>
        </w:rPr>
      </w:pPr>
    </w:p>
    <w:p>
      <w:pPr>
        <w:pStyle w:val="ListParagraph"/>
        <w:numPr>
          <w:ilvl w:val="1"/>
          <w:numId w:val="1"/>
        </w:numPr>
        <w:tabs>
          <w:tab w:pos="592" w:val="left" w:leader="none"/>
        </w:tabs>
        <w:spacing w:line="240" w:lineRule="auto" w:before="0" w:after="0"/>
        <w:ind w:left="116" w:right="0" w:firstLine="0"/>
        <w:jc w:val="both"/>
        <w:rPr>
          <w:b/>
          <w:sz w:val="24"/>
        </w:rPr>
      </w:pPr>
      <w:r>
        <w:rPr>
          <w:b/>
          <w:sz w:val="24"/>
        </w:rPr>
        <w:t>Sigortanın</w:t>
      </w:r>
      <w:r>
        <w:rPr>
          <w:b/>
          <w:spacing w:val="-5"/>
          <w:sz w:val="24"/>
        </w:rPr>
        <w:t> </w:t>
      </w:r>
      <w:r>
        <w:rPr>
          <w:b/>
          <w:sz w:val="24"/>
        </w:rPr>
        <w:t>Konusu</w:t>
      </w:r>
    </w:p>
    <w:p>
      <w:pPr>
        <w:pStyle w:val="BodyText"/>
        <w:spacing w:before="6"/>
        <w:rPr>
          <w:b/>
          <w:sz w:val="23"/>
        </w:rPr>
      </w:pPr>
    </w:p>
    <w:p>
      <w:pPr>
        <w:pStyle w:val="BodyText"/>
        <w:ind w:left="115" w:right="102"/>
        <w:jc w:val="both"/>
      </w:pPr>
      <w:r>
        <w:rPr/>
        <w:t>Bu sigorta </w:t>
      </w:r>
      <w:r>
        <w:rPr>
          <w:spacing w:val="-4"/>
        </w:rPr>
        <w:t>ile</w:t>
      </w:r>
      <w:r>
        <w:rPr>
          <w:spacing w:val="52"/>
        </w:rPr>
        <w:t> </w:t>
      </w:r>
      <w:r>
        <w:rPr/>
        <w:t>Kamu Gözetimi, Muhasebe </w:t>
      </w:r>
      <w:r>
        <w:rPr>
          <w:spacing w:val="-3"/>
        </w:rPr>
        <w:t>ve </w:t>
      </w:r>
      <w:r>
        <w:rPr/>
        <w:t>Denetim Standartları Kurumu tarafından yetkilendirilen bağımsız denetim kuruluşları </w:t>
      </w:r>
      <w:r>
        <w:rPr>
          <w:spacing w:val="-3"/>
        </w:rPr>
        <w:t>ve </w:t>
      </w:r>
      <w:r>
        <w:rPr/>
        <w:t>bağımsız denetçilerin, 26/9/2011  tarihli  </w:t>
      </w:r>
      <w:r>
        <w:rPr>
          <w:spacing w:val="-3"/>
        </w:rPr>
        <w:t>ve </w:t>
      </w:r>
      <w:r>
        <w:rPr/>
        <w:t>660 sayılı Kamu Gözetimi, Muhasebe ve Denetim Standartları Kurumunun Teşkilat </w:t>
      </w:r>
      <w:r>
        <w:rPr>
          <w:spacing w:val="-3"/>
        </w:rPr>
        <w:t>ve </w:t>
      </w:r>
      <w:r>
        <w:rPr/>
        <w:t>Görevleri Hakkında Kanun Hükmünde Kararnamenin 24. maddesine bağlı olarak sözleşme süresi içinde; bilgi sistemleri denetimi dahil olmak üzere her türlü mevzuata </w:t>
      </w:r>
      <w:r>
        <w:rPr>
          <w:spacing w:val="-3"/>
        </w:rPr>
        <w:t>ve </w:t>
      </w:r>
      <w:r>
        <w:rPr/>
        <w:t>denetim standartlarına aykırı bağımsız denetim yapmaları </w:t>
      </w:r>
      <w:r>
        <w:rPr>
          <w:spacing w:val="-3"/>
        </w:rPr>
        <w:t>ve </w:t>
      </w:r>
      <w:r>
        <w:rPr/>
        <w:t>bağımsız denetim  raporları düzenlemeleri, raporlarında eksik, yanlış, yanıltıcı bilgi </w:t>
      </w:r>
      <w:r>
        <w:rPr>
          <w:spacing w:val="-3"/>
        </w:rPr>
        <w:t>ve </w:t>
      </w:r>
      <w:r>
        <w:rPr/>
        <w:t>görüşlere yer vermeleri gibi nedenlerden kaynaklanan zararlara karşı sözleşmede belirtilen miktara kadar, makul giderler ile yargılama gideri </w:t>
      </w:r>
      <w:r>
        <w:rPr>
          <w:spacing w:val="-3"/>
        </w:rPr>
        <w:t>ve </w:t>
      </w:r>
      <w:r>
        <w:rPr/>
        <w:t>vekalet ücretini de içerecek şekilde teminat verilir.</w:t>
      </w:r>
    </w:p>
    <w:p>
      <w:pPr>
        <w:pStyle w:val="BodyText"/>
      </w:pPr>
    </w:p>
    <w:p>
      <w:pPr>
        <w:pStyle w:val="BodyText"/>
        <w:ind w:left="115" w:right="106"/>
        <w:jc w:val="both"/>
      </w:pPr>
      <w:r>
        <w:rPr/>
        <w:t>Sigortalının bağımsız denetim kuruluşu olması durumunda, sözleşmede aksine hüküm yoksa bu sigorta, sigortalının bağımsız denetim faaliyetini gerçekleştiren temsilcisinin sorumluluğunu da karşılar.</w:t>
      </w:r>
    </w:p>
    <w:p>
      <w:pPr>
        <w:pStyle w:val="BodyText"/>
        <w:spacing w:before="4"/>
      </w:pPr>
    </w:p>
    <w:p>
      <w:pPr>
        <w:pStyle w:val="Heading1"/>
        <w:numPr>
          <w:ilvl w:val="1"/>
          <w:numId w:val="1"/>
        </w:numPr>
        <w:tabs>
          <w:tab w:pos="592" w:val="left" w:leader="none"/>
        </w:tabs>
        <w:spacing w:line="240" w:lineRule="auto" w:before="1" w:after="0"/>
        <w:ind w:left="591" w:right="0" w:hanging="475"/>
        <w:jc w:val="both"/>
      </w:pPr>
      <w:r>
        <w:rPr/>
        <w:t>Sigortanın Coğrafi</w:t>
      </w:r>
      <w:r>
        <w:rPr>
          <w:spacing w:val="-16"/>
        </w:rPr>
        <w:t> </w:t>
      </w:r>
      <w:r>
        <w:rPr/>
        <w:t>Sınırı</w:t>
      </w:r>
    </w:p>
    <w:p>
      <w:pPr>
        <w:pStyle w:val="BodyText"/>
        <w:spacing w:before="6"/>
        <w:rPr>
          <w:b/>
          <w:sz w:val="23"/>
        </w:rPr>
      </w:pPr>
    </w:p>
    <w:p>
      <w:pPr>
        <w:pStyle w:val="BodyText"/>
        <w:ind w:left="115" w:right="99"/>
        <w:jc w:val="both"/>
      </w:pPr>
      <w:r>
        <w:rPr/>
        <w:t>Bu sigorta, sigortalının Türkiye Cumhuriyeti sınırları içinde ifa ettiği mesleki faaliyetler için geçerlidir; Ancak, taraflar sigortalının yurtdışında yürüteceği mesleki faaliyetlerin de sigorta kapsamına alınmasını kararlaştırabilir.</w:t>
      </w:r>
    </w:p>
    <w:p>
      <w:pPr>
        <w:pStyle w:val="BodyText"/>
        <w:spacing w:before="4"/>
      </w:pPr>
    </w:p>
    <w:p>
      <w:pPr>
        <w:pStyle w:val="Heading1"/>
        <w:numPr>
          <w:ilvl w:val="1"/>
          <w:numId w:val="1"/>
        </w:numPr>
        <w:tabs>
          <w:tab w:pos="597" w:val="left" w:leader="none"/>
        </w:tabs>
        <w:spacing w:line="240" w:lineRule="auto" w:before="1" w:after="0"/>
        <w:ind w:left="596" w:right="0" w:hanging="480"/>
        <w:jc w:val="both"/>
      </w:pPr>
      <w:r>
        <w:rPr/>
        <w:t>Teminat Dışında Kalan</w:t>
      </w:r>
      <w:r>
        <w:rPr>
          <w:spacing w:val="-16"/>
        </w:rPr>
        <w:t> </w:t>
      </w:r>
      <w:r>
        <w:rPr/>
        <w:t>Haller</w:t>
      </w:r>
    </w:p>
    <w:p>
      <w:pPr>
        <w:pStyle w:val="BodyText"/>
        <w:spacing w:before="6"/>
        <w:rPr>
          <w:b/>
          <w:sz w:val="23"/>
        </w:rPr>
      </w:pPr>
    </w:p>
    <w:p>
      <w:pPr>
        <w:pStyle w:val="BodyText"/>
        <w:ind w:left="115"/>
        <w:jc w:val="both"/>
      </w:pPr>
      <w:r>
        <w:rPr/>
        <w:t>Aşağıdaki hâller teminat kapsamı dışındadır:</w:t>
      </w:r>
    </w:p>
    <w:p>
      <w:pPr>
        <w:pStyle w:val="BodyText"/>
      </w:pPr>
    </w:p>
    <w:p>
      <w:pPr>
        <w:pStyle w:val="ListParagraph"/>
        <w:numPr>
          <w:ilvl w:val="0"/>
          <w:numId w:val="2"/>
        </w:numPr>
        <w:tabs>
          <w:tab w:pos="395" w:val="left" w:leader="none"/>
        </w:tabs>
        <w:spacing w:line="242" w:lineRule="auto" w:before="0" w:after="0"/>
        <w:ind w:left="116" w:right="115" w:firstLine="0"/>
        <w:jc w:val="both"/>
        <w:rPr>
          <w:sz w:val="24"/>
        </w:rPr>
      </w:pPr>
      <w:r>
        <w:rPr>
          <w:sz w:val="24"/>
        </w:rPr>
        <w:t>Sigortalının, poliçede belirlenmiş </w:t>
      </w:r>
      <w:r>
        <w:rPr>
          <w:spacing w:val="-3"/>
          <w:sz w:val="24"/>
        </w:rPr>
        <w:t>ve </w:t>
      </w:r>
      <w:r>
        <w:rPr>
          <w:sz w:val="24"/>
        </w:rPr>
        <w:t>sınırları hukuk kuralları veya etik kurallar ile tespit edilen mesleki faaliyeti dışındaki faaliyetlerinden kaynaklanan tazminat</w:t>
      </w:r>
      <w:r>
        <w:rPr>
          <w:spacing w:val="-37"/>
          <w:sz w:val="24"/>
        </w:rPr>
        <w:t> </w:t>
      </w:r>
      <w:r>
        <w:rPr>
          <w:sz w:val="24"/>
        </w:rPr>
        <w:t>talepleri,</w:t>
      </w:r>
    </w:p>
    <w:p>
      <w:pPr>
        <w:pStyle w:val="BodyText"/>
        <w:spacing w:before="2"/>
      </w:pPr>
    </w:p>
    <w:p>
      <w:pPr>
        <w:pStyle w:val="ListParagraph"/>
        <w:numPr>
          <w:ilvl w:val="0"/>
          <w:numId w:val="2"/>
        </w:numPr>
        <w:tabs>
          <w:tab w:pos="400" w:val="left" w:leader="none"/>
        </w:tabs>
        <w:spacing w:line="274" w:lineRule="exact" w:before="0" w:after="0"/>
        <w:ind w:left="116" w:right="104" w:firstLine="0"/>
        <w:jc w:val="both"/>
        <w:rPr>
          <w:sz w:val="24"/>
        </w:rPr>
      </w:pPr>
      <w:r>
        <w:rPr>
          <w:sz w:val="24"/>
        </w:rPr>
        <w:t>Mesleki faaliyetin ifası sırasında sigortalı tarafından kasten sebep olunan her tür olay ile davranışları,</w:t>
      </w:r>
    </w:p>
    <w:p>
      <w:pPr>
        <w:pStyle w:val="BodyText"/>
        <w:spacing w:before="8"/>
        <w:rPr>
          <w:sz w:val="23"/>
        </w:rPr>
      </w:pPr>
    </w:p>
    <w:p>
      <w:pPr>
        <w:pStyle w:val="ListParagraph"/>
        <w:numPr>
          <w:ilvl w:val="0"/>
          <w:numId w:val="2"/>
        </w:numPr>
        <w:tabs>
          <w:tab w:pos="385" w:val="left" w:leader="none"/>
        </w:tabs>
        <w:spacing w:line="240" w:lineRule="auto" w:before="0" w:after="0"/>
        <w:ind w:left="116" w:right="103" w:firstLine="0"/>
        <w:jc w:val="both"/>
        <w:rPr>
          <w:sz w:val="24"/>
        </w:rPr>
      </w:pPr>
      <w:r>
        <w:rPr>
          <w:sz w:val="24"/>
        </w:rPr>
        <w:t>Bağımsız denetim maksadıyla sigortalıya teslim edilen herhangi bir bilgisayar esaslı veya elektronik ortamda saklanabilir, yazılı, basılmış veya herhangi </w:t>
      </w:r>
      <w:r>
        <w:rPr>
          <w:spacing w:val="-3"/>
          <w:sz w:val="24"/>
        </w:rPr>
        <w:t>bir </w:t>
      </w:r>
      <w:r>
        <w:rPr>
          <w:sz w:val="24"/>
        </w:rPr>
        <w:t>yöntem </w:t>
      </w:r>
      <w:r>
        <w:rPr>
          <w:spacing w:val="-4"/>
          <w:sz w:val="24"/>
        </w:rPr>
        <w:t>ile</w:t>
      </w:r>
      <w:r>
        <w:rPr>
          <w:spacing w:val="52"/>
          <w:sz w:val="24"/>
        </w:rPr>
        <w:t> </w:t>
      </w:r>
      <w:r>
        <w:rPr>
          <w:sz w:val="24"/>
        </w:rPr>
        <w:t>tekrar çoğaltılmış</w:t>
      </w:r>
      <w:r>
        <w:rPr>
          <w:spacing w:val="-5"/>
          <w:sz w:val="24"/>
        </w:rPr>
        <w:t> </w:t>
      </w:r>
      <w:r>
        <w:rPr>
          <w:sz w:val="24"/>
        </w:rPr>
        <w:t>olsun</w:t>
      </w:r>
      <w:r>
        <w:rPr>
          <w:spacing w:val="-8"/>
          <w:sz w:val="24"/>
        </w:rPr>
        <w:t> </w:t>
      </w:r>
      <w:r>
        <w:rPr>
          <w:sz w:val="24"/>
        </w:rPr>
        <w:t>veya</w:t>
      </w:r>
      <w:r>
        <w:rPr>
          <w:spacing w:val="-4"/>
          <w:sz w:val="24"/>
        </w:rPr>
        <w:t> </w:t>
      </w:r>
      <w:r>
        <w:rPr>
          <w:sz w:val="24"/>
        </w:rPr>
        <w:t>olmasın</w:t>
      </w:r>
      <w:r>
        <w:rPr>
          <w:spacing w:val="-3"/>
          <w:sz w:val="24"/>
        </w:rPr>
        <w:t> </w:t>
      </w:r>
      <w:r>
        <w:rPr>
          <w:sz w:val="24"/>
        </w:rPr>
        <w:t>her</w:t>
      </w:r>
      <w:r>
        <w:rPr>
          <w:spacing w:val="-2"/>
          <w:sz w:val="24"/>
        </w:rPr>
        <w:t> </w:t>
      </w:r>
      <w:r>
        <w:rPr>
          <w:sz w:val="24"/>
        </w:rPr>
        <w:t>tür</w:t>
      </w:r>
      <w:r>
        <w:rPr>
          <w:spacing w:val="-2"/>
          <w:sz w:val="24"/>
        </w:rPr>
        <w:t> </w:t>
      </w:r>
      <w:r>
        <w:rPr>
          <w:sz w:val="24"/>
        </w:rPr>
        <w:t>belgenin</w:t>
      </w:r>
      <w:r>
        <w:rPr>
          <w:spacing w:val="-8"/>
          <w:sz w:val="24"/>
        </w:rPr>
        <w:t> </w:t>
      </w:r>
      <w:r>
        <w:rPr>
          <w:sz w:val="24"/>
        </w:rPr>
        <w:t>sigortalı</w:t>
      </w:r>
      <w:r>
        <w:rPr>
          <w:spacing w:val="-12"/>
          <w:sz w:val="24"/>
        </w:rPr>
        <w:t> </w:t>
      </w:r>
      <w:r>
        <w:rPr>
          <w:sz w:val="24"/>
        </w:rPr>
        <w:t>tarafından</w:t>
      </w:r>
      <w:r>
        <w:rPr>
          <w:spacing w:val="-8"/>
          <w:sz w:val="24"/>
        </w:rPr>
        <w:t> </w:t>
      </w:r>
      <w:r>
        <w:rPr>
          <w:sz w:val="24"/>
        </w:rPr>
        <w:t>kötüye</w:t>
      </w:r>
      <w:r>
        <w:rPr>
          <w:spacing w:val="-4"/>
          <w:sz w:val="24"/>
        </w:rPr>
        <w:t> </w:t>
      </w:r>
      <w:r>
        <w:rPr>
          <w:sz w:val="24"/>
        </w:rPr>
        <w:t>kullanılması.</w:t>
      </w:r>
    </w:p>
    <w:p>
      <w:pPr>
        <w:pStyle w:val="BodyText"/>
        <w:spacing w:before="4"/>
      </w:pPr>
    </w:p>
    <w:p>
      <w:pPr>
        <w:pStyle w:val="Heading1"/>
        <w:numPr>
          <w:ilvl w:val="1"/>
          <w:numId w:val="1"/>
        </w:numPr>
        <w:tabs>
          <w:tab w:pos="659" w:val="left" w:leader="none"/>
        </w:tabs>
        <w:spacing w:line="242" w:lineRule="auto" w:before="1" w:after="0"/>
        <w:ind w:left="116" w:right="106" w:firstLine="0"/>
        <w:jc w:val="both"/>
      </w:pPr>
      <w:r>
        <w:rPr/>
        <w:t>Aksine Sözleşme Yoksa Teminat Dışında Kalan Haller, Tazminat Talepleri ve Ödemeler</w:t>
      </w:r>
    </w:p>
    <w:p>
      <w:pPr>
        <w:pStyle w:val="BodyText"/>
        <w:spacing w:before="8"/>
        <w:rPr>
          <w:b/>
          <w:sz w:val="23"/>
        </w:rPr>
      </w:pPr>
    </w:p>
    <w:p>
      <w:pPr>
        <w:pStyle w:val="ListParagraph"/>
        <w:numPr>
          <w:ilvl w:val="2"/>
          <w:numId w:val="1"/>
        </w:numPr>
        <w:tabs>
          <w:tab w:pos="717" w:val="left" w:leader="none"/>
        </w:tabs>
        <w:spacing w:line="240" w:lineRule="auto" w:before="1" w:after="0"/>
        <w:ind w:left="716" w:right="0" w:hanging="600"/>
        <w:jc w:val="both"/>
        <w:rPr>
          <w:b/>
          <w:sz w:val="24"/>
        </w:rPr>
      </w:pPr>
      <w:r>
        <w:rPr>
          <w:b/>
          <w:sz w:val="24"/>
        </w:rPr>
        <w:t>Aksine Sözleşme Yoksa Teminat Dışında Kalan</w:t>
      </w:r>
      <w:r>
        <w:rPr>
          <w:b/>
          <w:spacing w:val="-27"/>
          <w:sz w:val="24"/>
        </w:rPr>
        <w:t> </w:t>
      </w:r>
      <w:r>
        <w:rPr>
          <w:b/>
          <w:sz w:val="24"/>
        </w:rPr>
        <w:t>Haller</w:t>
      </w:r>
    </w:p>
    <w:p>
      <w:pPr>
        <w:pStyle w:val="BodyText"/>
        <w:rPr>
          <w:b/>
        </w:rPr>
      </w:pPr>
    </w:p>
    <w:p>
      <w:pPr>
        <w:pStyle w:val="ListParagraph"/>
        <w:numPr>
          <w:ilvl w:val="0"/>
          <w:numId w:val="3"/>
        </w:numPr>
        <w:tabs>
          <w:tab w:pos="400" w:val="left" w:leader="none"/>
        </w:tabs>
        <w:spacing w:line="274" w:lineRule="exact" w:before="0" w:after="0"/>
        <w:ind w:left="116" w:right="105" w:firstLine="0"/>
        <w:jc w:val="both"/>
        <w:rPr>
          <w:sz w:val="24"/>
        </w:rPr>
      </w:pPr>
      <w:r>
        <w:rPr>
          <w:sz w:val="24"/>
        </w:rPr>
        <w:t>Türkiye Cumhuriyeti mahkemeleri haricinde bir mahkemede açılan tazminat davaları </w:t>
      </w:r>
      <w:r>
        <w:rPr>
          <w:spacing w:val="-3"/>
          <w:sz w:val="24"/>
        </w:rPr>
        <w:t>ve </w:t>
      </w:r>
      <w:r>
        <w:rPr>
          <w:sz w:val="24"/>
        </w:rPr>
        <w:t>tahkim;</w:t>
      </w:r>
    </w:p>
    <w:p>
      <w:pPr>
        <w:pStyle w:val="BodyText"/>
        <w:spacing w:before="8"/>
        <w:rPr>
          <w:sz w:val="23"/>
        </w:rPr>
      </w:pPr>
    </w:p>
    <w:p>
      <w:pPr>
        <w:pStyle w:val="ListParagraph"/>
        <w:numPr>
          <w:ilvl w:val="0"/>
          <w:numId w:val="3"/>
        </w:numPr>
        <w:tabs>
          <w:tab w:pos="510" w:val="left" w:leader="none"/>
        </w:tabs>
        <w:spacing w:line="242" w:lineRule="auto" w:before="0" w:after="0"/>
        <w:ind w:left="116" w:right="111" w:firstLine="0"/>
        <w:jc w:val="both"/>
        <w:rPr>
          <w:sz w:val="24"/>
        </w:rPr>
      </w:pPr>
      <w:r>
        <w:rPr>
          <w:sz w:val="24"/>
        </w:rPr>
        <w:t>Bağımsız denetim maksadıyla sigortalıya teslim edilen belgenin zayi belgesine bağlanmadan </w:t>
      </w:r>
      <w:r>
        <w:rPr>
          <w:spacing w:val="-3"/>
          <w:sz w:val="24"/>
        </w:rPr>
        <w:t>imha</w:t>
      </w:r>
      <w:r>
        <w:rPr>
          <w:spacing w:val="-5"/>
          <w:sz w:val="24"/>
        </w:rPr>
        <w:t> </w:t>
      </w:r>
      <w:r>
        <w:rPr>
          <w:sz w:val="24"/>
        </w:rPr>
        <w:t>edilmesi;</w:t>
      </w:r>
    </w:p>
    <w:p>
      <w:pPr>
        <w:spacing w:after="0" w:line="242" w:lineRule="auto"/>
        <w:jc w:val="both"/>
        <w:rPr>
          <w:sz w:val="24"/>
        </w:rPr>
        <w:sectPr>
          <w:footerReference w:type="default" r:id="rId5"/>
          <w:type w:val="continuous"/>
          <w:pgSz w:w="11900" w:h="16840"/>
          <w:pgMar w:footer="970" w:top="940" w:bottom="1160" w:left="1300" w:right="1300"/>
          <w:pgNumType w:start="1"/>
        </w:sectPr>
      </w:pPr>
    </w:p>
    <w:p>
      <w:pPr>
        <w:pStyle w:val="ListParagraph"/>
        <w:numPr>
          <w:ilvl w:val="0"/>
          <w:numId w:val="3"/>
        </w:numPr>
        <w:tabs>
          <w:tab w:pos="366" w:val="left" w:leader="none"/>
        </w:tabs>
        <w:spacing w:line="240" w:lineRule="auto" w:before="40" w:after="0"/>
        <w:ind w:left="365" w:right="0" w:hanging="249"/>
        <w:jc w:val="both"/>
        <w:rPr>
          <w:sz w:val="24"/>
        </w:rPr>
      </w:pPr>
      <w:r>
        <w:rPr>
          <w:sz w:val="24"/>
        </w:rPr>
        <w:t>Her türlü haksız</w:t>
      </w:r>
      <w:r>
        <w:rPr>
          <w:spacing w:val="-10"/>
          <w:sz w:val="24"/>
        </w:rPr>
        <w:t> </w:t>
      </w:r>
      <w:r>
        <w:rPr>
          <w:sz w:val="24"/>
        </w:rPr>
        <w:t>rekabet.</w:t>
      </w:r>
    </w:p>
    <w:p>
      <w:pPr>
        <w:pStyle w:val="BodyText"/>
      </w:pPr>
    </w:p>
    <w:p>
      <w:pPr>
        <w:pStyle w:val="Heading1"/>
        <w:numPr>
          <w:ilvl w:val="2"/>
          <w:numId w:val="1"/>
        </w:numPr>
        <w:tabs>
          <w:tab w:pos="774" w:val="left" w:leader="none"/>
        </w:tabs>
        <w:spacing w:line="240" w:lineRule="auto" w:before="0" w:after="0"/>
        <w:ind w:left="773" w:right="0" w:hanging="657"/>
        <w:jc w:val="both"/>
      </w:pPr>
      <w:r>
        <w:rPr/>
        <w:t>Aksine Sözleşme Yoksa Teminat Dışında Kalan Tazminat</w:t>
      </w:r>
      <w:r>
        <w:rPr>
          <w:spacing w:val="-33"/>
        </w:rPr>
        <w:t> </w:t>
      </w:r>
      <w:r>
        <w:rPr/>
        <w:t>Talepleri</w:t>
      </w:r>
    </w:p>
    <w:p>
      <w:pPr>
        <w:pStyle w:val="BodyText"/>
        <w:rPr>
          <w:b/>
        </w:rPr>
      </w:pPr>
    </w:p>
    <w:p>
      <w:pPr>
        <w:pStyle w:val="ListParagraph"/>
        <w:numPr>
          <w:ilvl w:val="0"/>
          <w:numId w:val="4"/>
        </w:numPr>
        <w:tabs>
          <w:tab w:pos="371" w:val="left" w:leader="none"/>
        </w:tabs>
        <w:spacing w:line="242" w:lineRule="auto" w:before="0" w:after="0"/>
        <w:ind w:left="116" w:right="134" w:firstLine="0"/>
        <w:jc w:val="both"/>
        <w:rPr>
          <w:sz w:val="24"/>
        </w:rPr>
      </w:pPr>
      <w:r>
        <w:rPr>
          <w:sz w:val="24"/>
        </w:rPr>
        <w:t>Müşterisine </w:t>
      </w:r>
      <w:r>
        <w:rPr>
          <w:spacing w:val="-2"/>
          <w:sz w:val="24"/>
        </w:rPr>
        <w:t>ait </w:t>
      </w:r>
      <w:r>
        <w:rPr>
          <w:sz w:val="24"/>
        </w:rPr>
        <w:t>her tür patent, telif hakkı ile ticaret </w:t>
      </w:r>
      <w:r>
        <w:rPr>
          <w:spacing w:val="-3"/>
          <w:sz w:val="24"/>
        </w:rPr>
        <w:t>unvanı, </w:t>
      </w:r>
      <w:r>
        <w:rPr>
          <w:sz w:val="24"/>
        </w:rPr>
        <w:t>marka </w:t>
      </w:r>
      <w:r>
        <w:rPr>
          <w:spacing w:val="-3"/>
          <w:sz w:val="24"/>
        </w:rPr>
        <w:t>ve </w:t>
      </w:r>
      <w:r>
        <w:rPr>
          <w:sz w:val="24"/>
        </w:rPr>
        <w:t>benzeri fikrî mülkiyet hak ihlallerinden kaynaklanan tazminat</w:t>
      </w:r>
      <w:r>
        <w:rPr>
          <w:spacing w:val="-22"/>
          <w:sz w:val="24"/>
        </w:rPr>
        <w:t> </w:t>
      </w:r>
      <w:r>
        <w:rPr>
          <w:sz w:val="24"/>
        </w:rPr>
        <w:t>talepleri;</w:t>
      </w:r>
    </w:p>
    <w:p>
      <w:pPr>
        <w:pStyle w:val="BodyText"/>
        <w:spacing w:before="8"/>
        <w:rPr>
          <w:sz w:val="23"/>
        </w:rPr>
      </w:pPr>
    </w:p>
    <w:p>
      <w:pPr>
        <w:pStyle w:val="ListParagraph"/>
        <w:numPr>
          <w:ilvl w:val="0"/>
          <w:numId w:val="4"/>
        </w:numPr>
        <w:tabs>
          <w:tab w:pos="376" w:val="left" w:leader="none"/>
        </w:tabs>
        <w:spacing w:line="240" w:lineRule="auto" w:before="1" w:after="0"/>
        <w:ind w:left="375" w:right="0" w:hanging="259"/>
        <w:jc w:val="both"/>
        <w:rPr>
          <w:sz w:val="24"/>
        </w:rPr>
      </w:pPr>
      <w:r>
        <w:rPr>
          <w:sz w:val="24"/>
        </w:rPr>
        <w:t>Manevi tazminat</w:t>
      </w:r>
      <w:r>
        <w:rPr>
          <w:spacing w:val="-16"/>
          <w:sz w:val="24"/>
        </w:rPr>
        <w:t> </w:t>
      </w:r>
      <w:r>
        <w:rPr>
          <w:sz w:val="24"/>
        </w:rPr>
        <w:t>talepleri.</w:t>
      </w:r>
    </w:p>
    <w:p>
      <w:pPr>
        <w:pStyle w:val="BodyText"/>
        <w:spacing w:before="4"/>
      </w:pPr>
    </w:p>
    <w:p>
      <w:pPr>
        <w:pStyle w:val="Heading1"/>
        <w:numPr>
          <w:ilvl w:val="2"/>
          <w:numId w:val="1"/>
        </w:numPr>
        <w:tabs>
          <w:tab w:pos="717" w:val="left" w:leader="none"/>
        </w:tabs>
        <w:spacing w:line="240" w:lineRule="auto" w:before="1" w:after="0"/>
        <w:ind w:left="716" w:right="0" w:hanging="600"/>
        <w:jc w:val="both"/>
      </w:pPr>
      <w:r>
        <w:rPr/>
        <w:t>Aksine Sözleşme Yoksa Teminat Dışında Kalan</w:t>
      </w:r>
      <w:r>
        <w:rPr>
          <w:spacing w:val="-27"/>
        </w:rPr>
        <w:t> </w:t>
      </w:r>
      <w:r>
        <w:rPr/>
        <w:t>Ödemeler</w:t>
      </w:r>
    </w:p>
    <w:p>
      <w:pPr>
        <w:pStyle w:val="BodyText"/>
        <w:spacing w:before="6"/>
        <w:rPr>
          <w:b/>
          <w:sz w:val="23"/>
        </w:rPr>
      </w:pPr>
    </w:p>
    <w:p>
      <w:pPr>
        <w:pStyle w:val="ListParagraph"/>
        <w:numPr>
          <w:ilvl w:val="0"/>
          <w:numId w:val="5"/>
        </w:numPr>
        <w:tabs>
          <w:tab w:pos="366" w:val="left" w:leader="none"/>
        </w:tabs>
        <w:spacing w:line="240" w:lineRule="auto" w:before="0" w:after="0"/>
        <w:ind w:left="116" w:right="0" w:firstLine="0"/>
        <w:jc w:val="both"/>
        <w:rPr>
          <w:sz w:val="24"/>
        </w:rPr>
      </w:pPr>
      <w:r>
        <w:rPr>
          <w:sz w:val="24"/>
        </w:rPr>
        <w:t>İdarî </w:t>
      </w:r>
      <w:r>
        <w:rPr>
          <w:spacing w:val="-3"/>
          <w:sz w:val="24"/>
        </w:rPr>
        <w:t>ve </w:t>
      </w:r>
      <w:r>
        <w:rPr>
          <w:sz w:val="24"/>
        </w:rPr>
        <w:t>adlî para cezaları dahil her tür ceza </w:t>
      </w:r>
      <w:r>
        <w:rPr>
          <w:spacing w:val="-3"/>
          <w:sz w:val="24"/>
        </w:rPr>
        <w:t>ve </w:t>
      </w:r>
      <w:r>
        <w:rPr>
          <w:sz w:val="24"/>
        </w:rPr>
        <w:t>cezai</w:t>
      </w:r>
      <w:r>
        <w:rPr>
          <w:spacing w:val="-3"/>
          <w:sz w:val="24"/>
        </w:rPr>
        <w:t> </w:t>
      </w:r>
      <w:r>
        <w:rPr>
          <w:sz w:val="24"/>
        </w:rPr>
        <w:t>şartlar;</w:t>
      </w:r>
    </w:p>
    <w:p>
      <w:pPr>
        <w:pStyle w:val="BodyText"/>
        <w:spacing w:before="4"/>
      </w:pPr>
    </w:p>
    <w:p>
      <w:pPr>
        <w:pStyle w:val="ListParagraph"/>
        <w:numPr>
          <w:ilvl w:val="0"/>
          <w:numId w:val="5"/>
        </w:numPr>
        <w:tabs>
          <w:tab w:pos="390" w:val="left" w:leader="none"/>
        </w:tabs>
        <w:spacing w:line="274" w:lineRule="exact" w:before="1" w:after="0"/>
        <w:ind w:left="116" w:right="121" w:firstLine="0"/>
        <w:jc w:val="both"/>
        <w:rPr>
          <w:sz w:val="24"/>
        </w:rPr>
      </w:pPr>
      <w:r>
        <w:rPr>
          <w:sz w:val="24"/>
        </w:rPr>
        <w:t>Sigortalının aleyhine cezai takibata geçilmesi hâlinde, </w:t>
      </w:r>
      <w:r>
        <w:rPr>
          <w:spacing w:val="-3"/>
          <w:sz w:val="24"/>
        </w:rPr>
        <w:t>bu </w:t>
      </w:r>
      <w:r>
        <w:rPr>
          <w:sz w:val="24"/>
        </w:rPr>
        <w:t>takibattan doğan diğer bilumum masraflar;</w:t>
      </w:r>
    </w:p>
    <w:p>
      <w:pPr>
        <w:pStyle w:val="BodyText"/>
        <w:spacing w:before="8"/>
        <w:rPr>
          <w:sz w:val="23"/>
        </w:rPr>
      </w:pPr>
    </w:p>
    <w:p>
      <w:pPr>
        <w:pStyle w:val="ListParagraph"/>
        <w:numPr>
          <w:ilvl w:val="0"/>
          <w:numId w:val="5"/>
        </w:numPr>
        <w:tabs>
          <w:tab w:pos="366" w:val="left" w:leader="none"/>
        </w:tabs>
        <w:spacing w:line="240" w:lineRule="auto" w:before="0" w:after="0"/>
        <w:ind w:left="365" w:right="0" w:hanging="249"/>
        <w:jc w:val="both"/>
        <w:rPr>
          <w:sz w:val="24"/>
        </w:rPr>
      </w:pPr>
      <w:r>
        <w:rPr>
          <w:sz w:val="24"/>
        </w:rPr>
        <w:t>İsteme ilişkin sigorta bedelini aşan</w:t>
      </w:r>
      <w:r>
        <w:rPr>
          <w:spacing w:val="-29"/>
          <w:sz w:val="24"/>
        </w:rPr>
        <w:t> </w:t>
      </w:r>
      <w:r>
        <w:rPr>
          <w:sz w:val="24"/>
        </w:rPr>
        <w:t>giderler.</w:t>
      </w:r>
    </w:p>
    <w:p>
      <w:pPr>
        <w:pStyle w:val="BodyText"/>
        <w:spacing w:before="4"/>
      </w:pPr>
    </w:p>
    <w:p>
      <w:pPr>
        <w:pStyle w:val="Heading1"/>
        <w:numPr>
          <w:ilvl w:val="1"/>
          <w:numId w:val="1"/>
        </w:numPr>
        <w:tabs>
          <w:tab w:pos="654" w:val="left" w:leader="none"/>
        </w:tabs>
        <w:spacing w:line="240" w:lineRule="auto" w:before="1" w:after="0"/>
        <w:ind w:left="653" w:right="0" w:hanging="537"/>
        <w:jc w:val="both"/>
      </w:pPr>
      <w:r>
        <w:rPr/>
        <w:t>Sigortanın Başlangıcı ve</w:t>
      </w:r>
      <w:r>
        <w:rPr>
          <w:spacing w:val="-9"/>
        </w:rPr>
        <w:t> </w:t>
      </w:r>
      <w:r>
        <w:rPr/>
        <w:t>Sonu</w:t>
      </w:r>
    </w:p>
    <w:p>
      <w:pPr>
        <w:pStyle w:val="BodyText"/>
        <w:spacing w:before="6"/>
        <w:rPr>
          <w:b/>
          <w:sz w:val="23"/>
        </w:rPr>
      </w:pPr>
    </w:p>
    <w:p>
      <w:pPr>
        <w:pStyle w:val="BodyText"/>
        <w:ind w:left="115" w:right="120"/>
        <w:jc w:val="both"/>
      </w:pPr>
      <w:r>
        <w:rPr/>
        <w:t>Sigorta, poliçede başlama ve sona erme tarihleri olarak yazılan günlerde, aksi kararlaştırılmadıkça, Türkiye saati ile öğlen saat 12.00’de başlar ve öğlen saat 12.00’de sona erer.</w:t>
      </w:r>
    </w:p>
    <w:p>
      <w:pPr>
        <w:pStyle w:val="BodyText"/>
        <w:spacing w:before="4"/>
      </w:pPr>
    </w:p>
    <w:p>
      <w:pPr>
        <w:pStyle w:val="Heading1"/>
        <w:numPr>
          <w:ilvl w:val="1"/>
          <w:numId w:val="6"/>
        </w:numPr>
        <w:tabs>
          <w:tab w:pos="582" w:val="left" w:leader="none"/>
        </w:tabs>
        <w:spacing w:line="240" w:lineRule="auto" w:before="1" w:after="0"/>
        <w:ind w:left="581" w:right="0" w:hanging="465"/>
        <w:jc w:val="both"/>
      </w:pPr>
      <w:r>
        <w:rPr/>
        <w:t>Rizikonun</w:t>
      </w:r>
      <w:r>
        <w:rPr>
          <w:spacing w:val="-19"/>
        </w:rPr>
        <w:t> </w:t>
      </w:r>
      <w:r>
        <w:rPr/>
        <w:t>Gerçekleşmesi</w:t>
      </w:r>
    </w:p>
    <w:p>
      <w:pPr>
        <w:pStyle w:val="BodyText"/>
        <w:spacing w:before="6"/>
        <w:rPr>
          <w:b/>
          <w:sz w:val="23"/>
        </w:rPr>
      </w:pPr>
    </w:p>
    <w:p>
      <w:pPr>
        <w:pStyle w:val="BodyText"/>
        <w:ind w:left="115" w:right="126"/>
        <w:jc w:val="both"/>
      </w:pPr>
      <w:r>
        <w:rPr/>
        <w:t>Sigorta sözleşmesinin konusuna ilişkin olarak sigortalının kendisine tazminat talebinde bulunulduğunu öğrendiği ya da zarar görenin doğrudan doğruya sigortacıya başvurduğu anda riziko gerçekleşmiş sayılır.</w:t>
      </w:r>
    </w:p>
    <w:p>
      <w:pPr>
        <w:pStyle w:val="Heading1"/>
        <w:numPr>
          <w:ilvl w:val="1"/>
          <w:numId w:val="6"/>
        </w:numPr>
        <w:tabs>
          <w:tab w:pos="582" w:val="left" w:leader="none"/>
        </w:tabs>
        <w:spacing w:line="240" w:lineRule="auto" w:before="204" w:after="0"/>
        <w:ind w:left="581" w:right="0" w:hanging="465"/>
        <w:jc w:val="both"/>
      </w:pPr>
      <w:r>
        <w:rPr/>
        <w:t>Rizikoya</w:t>
      </w:r>
      <w:r>
        <w:rPr>
          <w:spacing w:val="-7"/>
        </w:rPr>
        <w:t> </w:t>
      </w:r>
      <w:r>
        <w:rPr/>
        <w:t>İlişkin</w:t>
      </w:r>
      <w:r>
        <w:rPr>
          <w:spacing w:val="-6"/>
        </w:rPr>
        <w:t> </w:t>
      </w:r>
      <w:r>
        <w:rPr/>
        <w:t>Olarak</w:t>
      </w:r>
      <w:r>
        <w:rPr>
          <w:spacing w:val="-10"/>
        </w:rPr>
        <w:t> </w:t>
      </w:r>
      <w:r>
        <w:rPr/>
        <w:t>Sigorta</w:t>
      </w:r>
      <w:r>
        <w:rPr>
          <w:spacing w:val="-7"/>
        </w:rPr>
        <w:t> </w:t>
      </w:r>
      <w:r>
        <w:rPr/>
        <w:t>Ettirenin</w:t>
      </w:r>
      <w:r>
        <w:rPr>
          <w:spacing w:val="-6"/>
        </w:rPr>
        <w:t> </w:t>
      </w:r>
      <w:r>
        <w:rPr/>
        <w:t>ve</w:t>
      </w:r>
      <w:r>
        <w:rPr>
          <w:spacing w:val="-8"/>
        </w:rPr>
        <w:t> </w:t>
      </w:r>
      <w:r>
        <w:rPr/>
        <w:t>Sigortalının</w:t>
      </w:r>
      <w:r>
        <w:rPr>
          <w:spacing w:val="-6"/>
        </w:rPr>
        <w:t> </w:t>
      </w:r>
      <w:r>
        <w:rPr/>
        <w:t>Yükümlülükleri</w:t>
      </w:r>
    </w:p>
    <w:p>
      <w:pPr>
        <w:pStyle w:val="BodyText"/>
        <w:spacing w:before="4"/>
        <w:rPr>
          <w:b/>
        </w:rPr>
      </w:pPr>
    </w:p>
    <w:p>
      <w:pPr>
        <w:pStyle w:val="BodyText"/>
        <w:spacing w:before="1"/>
        <w:ind w:left="115"/>
        <w:jc w:val="both"/>
      </w:pPr>
      <w:r>
        <w:rPr/>
        <w:t>Sigortalı ve sigorta ettiren, aşağıdaki hususları yerine getirmekle yükümlüdür.</w:t>
      </w:r>
    </w:p>
    <w:p>
      <w:pPr>
        <w:pStyle w:val="BodyText"/>
      </w:pPr>
    </w:p>
    <w:p>
      <w:pPr>
        <w:pStyle w:val="ListParagraph"/>
        <w:numPr>
          <w:ilvl w:val="0"/>
          <w:numId w:val="7"/>
        </w:numPr>
        <w:tabs>
          <w:tab w:pos="366" w:val="left" w:leader="none"/>
        </w:tabs>
        <w:spacing w:line="240" w:lineRule="auto" w:before="0" w:after="0"/>
        <w:ind w:left="116" w:right="0" w:firstLine="0"/>
        <w:jc w:val="both"/>
        <w:rPr>
          <w:sz w:val="24"/>
        </w:rPr>
      </w:pPr>
      <w:r>
        <w:rPr>
          <w:sz w:val="24"/>
        </w:rPr>
        <w:t>Haberdar olduğu andan itibaren rizikonun gerçekleştiğini, derhal sigortacıya</w:t>
      </w:r>
      <w:r>
        <w:rPr>
          <w:spacing w:val="-35"/>
          <w:sz w:val="24"/>
        </w:rPr>
        <w:t> </w:t>
      </w:r>
      <w:r>
        <w:rPr>
          <w:sz w:val="24"/>
        </w:rPr>
        <w:t>bildirmek,</w:t>
      </w:r>
    </w:p>
    <w:p>
      <w:pPr>
        <w:pStyle w:val="BodyText"/>
      </w:pPr>
    </w:p>
    <w:p>
      <w:pPr>
        <w:pStyle w:val="ListParagraph"/>
        <w:numPr>
          <w:ilvl w:val="0"/>
          <w:numId w:val="7"/>
        </w:numPr>
        <w:tabs>
          <w:tab w:pos="376" w:val="left" w:leader="none"/>
        </w:tabs>
        <w:spacing w:line="240" w:lineRule="auto" w:before="0" w:after="0"/>
        <w:ind w:left="375" w:right="0" w:hanging="259"/>
        <w:jc w:val="both"/>
        <w:rPr>
          <w:sz w:val="24"/>
        </w:rPr>
      </w:pPr>
      <w:r>
        <w:rPr>
          <w:sz w:val="24"/>
        </w:rPr>
        <w:t>Sigortalının</w:t>
      </w:r>
      <w:r>
        <w:rPr>
          <w:spacing w:val="-7"/>
          <w:sz w:val="24"/>
        </w:rPr>
        <w:t> </w:t>
      </w:r>
      <w:r>
        <w:rPr>
          <w:sz w:val="24"/>
        </w:rPr>
        <w:t>sorumluluğunu</w:t>
      </w:r>
      <w:r>
        <w:rPr>
          <w:spacing w:val="-7"/>
          <w:sz w:val="24"/>
        </w:rPr>
        <w:t> </w:t>
      </w:r>
      <w:r>
        <w:rPr>
          <w:sz w:val="24"/>
        </w:rPr>
        <w:t>gerektirecek</w:t>
      </w:r>
      <w:r>
        <w:rPr>
          <w:spacing w:val="-7"/>
          <w:sz w:val="24"/>
        </w:rPr>
        <w:t> </w:t>
      </w:r>
      <w:r>
        <w:rPr>
          <w:sz w:val="24"/>
        </w:rPr>
        <w:t>olayları,</w:t>
      </w:r>
      <w:r>
        <w:rPr>
          <w:spacing w:val="-5"/>
          <w:sz w:val="24"/>
        </w:rPr>
        <w:t> </w:t>
      </w:r>
      <w:r>
        <w:rPr>
          <w:sz w:val="24"/>
        </w:rPr>
        <w:t>on</w:t>
      </w:r>
      <w:r>
        <w:rPr>
          <w:spacing w:val="-11"/>
          <w:sz w:val="24"/>
        </w:rPr>
        <w:t> </w:t>
      </w:r>
      <w:r>
        <w:rPr>
          <w:sz w:val="24"/>
        </w:rPr>
        <w:t>gün</w:t>
      </w:r>
      <w:r>
        <w:rPr>
          <w:spacing w:val="-7"/>
          <w:sz w:val="24"/>
        </w:rPr>
        <w:t> </w:t>
      </w:r>
      <w:r>
        <w:rPr>
          <w:sz w:val="24"/>
        </w:rPr>
        <w:t>içinde,</w:t>
      </w:r>
      <w:r>
        <w:rPr>
          <w:spacing w:val="-5"/>
          <w:sz w:val="24"/>
        </w:rPr>
        <w:t> </w:t>
      </w:r>
      <w:r>
        <w:rPr>
          <w:sz w:val="24"/>
        </w:rPr>
        <w:t>sigortacıya</w:t>
      </w:r>
      <w:r>
        <w:rPr>
          <w:spacing w:val="-3"/>
          <w:sz w:val="24"/>
        </w:rPr>
        <w:t> </w:t>
      </w:r>
      <w:r>
        <w:rPr>
          <w:sz w:val="24"/>
        </w:rPr>
        <w:t>bildirmek,</w:t>
      </w:r>
    </w:p>
    <w:p>
      <w:pPr>
        <w:pStyle w:val="BodyText"/>
      </w:pPr>
    </w:p>
    <w:p>
      <w:pPr>
        <w:pStyle w:val="ListParagraph"/>
        <w:numPr>
          <w:ilvl w:val="0"/>
          <w:numId w:val="7"/>
        </w:numPr>
        <w:tabs>
          <w:tab w:pos="419" w:val="left" w:leader="none"/>
        </w:tabs>
        <w:spacing w:line="240" w:lineRule="auto" w:before="0" w:after="0"/>
        <w:ind w:left="116" w:right="121" w:firstLine="0"/>
        <w:jc w:val="both"/>
        <w:rPr>
          <w:sz w:val="24"/>
        </w:rPr>
      </w:pPr>
      <w:r>
        <w:rPr>
          <w:sz w:val="24"/>
        </w:rPr>
        <w:t>Sigorta sözleşmesi yokmuş gibi imkanları ölçüsünde zararın önlenmesi, azaltılması </w:t>
      </w:r>
      <w:r>
        <w:rPr>
          <w:spacing w:val="-3"/>
          <w:sz w:val="24"/>
        </w:rPr>
        <w:t>ve </w:t>
      </w:r>
      <w:r>
        <w:rPr>
          <w:sz w:val="24"/>
        </w:rPr>
        <w:t>artmasının önlenmesi için gerekli her türlü önlemi almak </w:t>
      </w:r>
      <w:r>
        <w:rPr>
          <w:spacing w:val="-3"/>
          <w:sz w:val="24"/>
        </w:rPr>
        <w:t>ve bu </w:t>
      </w:r>
      <w:r>
        <w:rPr>
          <w:sz w:val="24"/>
        </w:rPr>
        <w:t>amaçla sigortacı tarafından verilecek mesleki faaliyet dışındaki sigortacılıkla ilgili makul talimatlara</w:t>
      </w:r>
      <w:r>
        <w:rPr>
          <w:spacing w:val="-45"/>
          <w:sz w:val="24"/>
        </w:rPr>
        <w:t> </w:t>
      </w:r>
      <w:r>
        <w:rPr>
          <w:sz w:val="24"/>
        </w:rPr>
        <w:t>uymak,</w:t>
      </w:r>
    </w:p>
    <w:p>
      <w:pPr>
        <w:pStyle w:val="BodyText"/>
      </w:pPr>
    </w:p>
    <w:p>
      <w:pPr>
        <w:pStyle w:val="BodyText"/>
        <w:ind w:left="115" w:right="124"/>
        <w:jc w:val="both"/>
      </w:pPr>
      <w:r>
        <w:rPr/>
        <w:t>ç) Sigortacının talebi üzerine, olayın ve zararın nedeni ile hangi hâl ve şartlar altında gerçekleştiğinin ve sonuçlarının tespitine; tazminat yükümlülüğü ve miktarı ile rücu hakkının kullanılmasına yarayacak, elde edilmesi mümkün bilgi ve belgeleri makul sürede vermek,</w:t>
      </w:r>
    </w:p>
    <w:p>
      <w:pPr>
        <w:pStyle w:val="BodyText"/>
      </w:pPr>
    </w:p>
    <w:p>
      <w:pPr>
        <w:pStyle w:val="ListParagraph"/>
        <w:numPr>
          <w:ilvl w:val="0"/>
          <w:numId w:val="7"/>
        </w:numPr>
        <w:tabs>
          <w:tab w:pos="414" w:val="left" w:leader="none"/>
        </w:tabs>
        <w:spacing w:line="240" w:lineRule="auto" w:before="0" w:after="0"/>
        <w:ind w:left="116" w:right="116" w:firstLine="0"/>
        <w:jc w:val="both"/>
        <w:rPr>
          <w:sz w:val="24"/>
        </w:rPr>
      </w:pPr>
      <w:r>
        <w:rPr>
          <w:sz w:val="24"/>
        </w:rPr>
        <w:t>Zarardan dolayı, dava </w:t>
      </w:r>
      <w:r>
        <w:rPr>
          <w:spacing w:val="-3"/>
          <w:sz w:val="24"/>
        </w:rPr>
        <w:t>yolu </w:t>
      </w:r>
      <w:r>
        <w:rPr>
          <w:sz w:val="24"/>
        </w:rPr>
        <w:t>ile veya başka yollarla bir tazminat talebi karşısında kaldığı veya aleyhine cezai kovuşturmaya geçildiği hâllerde, durumdan sigortacıyı derhal haberdar etmek </w:t>
      </w:r>
      <w:r>
        <w:rPr>
          <w:spacing w:val="-3"/>
          <w:sz w:val="24"/>
        </w:rPr>
        <w:t>ve </w:t>
      </w:r>
      <w:r>
        <w:rPr>
          <w:sz w:val="24"/>
        </w:rPr>
        <w:t>tazminat talebine </w:t>
      </w:r>
      <w:r>
        <w:rPr>
          <w:spacing w:val="-3"/>
          <w:sz w:val="24"/>
        </w:rPr>
        <w:t>ve </w:t>
      </w:r>
      <w:r>
        <w:rPr>
          <w:sz w:val="24"/>
        </w:rPr>
        <w:t>cezai kovuşturmaya ilişkin olarak almış olduğu ihbarname, davetiye </w:t>
      </w:r>
      <w:r>
        <w:rPr>
          <w:spacing w:val="-3"/>
          <w:sz w:val="24"/>
        </w:rPr>
        <w:t>ve </w:t>
      </w:r>
      <w:r>
        <w:rPr>
          <w:sz w:val="24"/>
        </w:rPr>
        <w:t>benzeri </w:t>
      </w:r>
      <w:r>
        <w:rPr>
          <w:spacing w:val="3"/>
          <w:sz w:val="24"/>
        </w:rPr>
        <w:t>tüm </w:t>
      </w:r>
      <w:r>
        <w:rPr>
          <w:sz w:val="24"/>
        </w:rPr>
        <w:t>belgeleri gecikmeksizin sigortacıya</w:t>
      </w:r>
      <w:r>
        <w:rPr>
          <w:spacing w:val="-33"/>
          <w:sz w:val="24"/>
        </w:rPr>
        <w:t> </w:t>
      </w:r>
      <w:r>
        <w:rPr>
          <w:sz w:val="24"/>
        </w:rPr>
        <w:t>vermek,</w:t>
      </w:r>
    </w:p>
    <w:p>
      <w:pPr>
        <w:spacing w:after="0" w:line="240" w:lineRule="auto"/>
        <w:jc w:val="both"/>
        <w:rPr>
          <w:sz w:val="24"/>
        </w:rPr>
        <w:sectPr>
          <w:pgSz w:w="11900" w:h="16840"/>
          <w:pgMar w:header="0" w:footer="970" w:top="1220" w:bottom="1180" w:left="1300" w:right="1280"/>
        </w:sectPr>
      </w:pPr>
    </w:p>
    <w:p>
      <w:pPr>
        <w:pStyle w:val="ListParagraph"/>
        <w:numPr>
          <w:ilvl w:val="0"/>
          <w:numId w:val="7"/>
        </w:numPr>
        <w:tabs>
          <w:tab w:pos="424" w:val="left" w:leader="none"/>
        </w:tabs>
        <w:spacing w:line="240" w:lineRule="auto" w:before="47" w:after="0"/>
        <w:ind w:left="423" w:right="0" w:hanging="307"/>
        <w:jc w:val="both"/>
        <w:rPr>
          <w:sz w:val="24"/>
        </w:rPr>
      </w:pPr>
      <w:r>
        <w:rPr>
          <w:sz w:val="24"/>
        </w:rPr>
        <w:t>Sigorta  konusu  </w:t>
      </w:r>
      <w:r>
        <w:rPr>
          <w:spacing w:val="-4"/>
          <w:sz w:val="24"/>
        </w:rPr>
        <w:t>ile  </w:t>
      </w:r>
      <w:r>
        <w:rPr>
          <w:sz w:val="24"/>
        </w:rPr>
        <w:t>ilgili  başka  sigorta  sözleşmesi  varsa  bunları  sigortacıya</w:t>
      </w:r>
      <w:r>
        <w:rPr>
          <w:spacing w:val="60"/>
          <w:sz w:val="24"/>
        </w:rPr>
        <w:t> </w:t>
      </w:r>
      <w:r>
        <w:rPr>
          <w:sz w:val="24"/>
        </w:rPr>
        <w:t>bildirmek.</w:t>
      </w:r>
    </w:p>
    <w:p>
      <w:pPr>
        <w:pStyle w:val="Heading1"/>
        <w:numPr>
          <w:ilvl w:val="1"/>
          <w:numId w:val="6"/>
        </w:numPr>
        <w:tabs>
          <w:tab w:pos="582" w:val="left" w:leader="none"/>
        </w:tabs>
        <w:spacing w:line="240" w:lineRule="auto" w:before="199" w:after="0"/>
        <w:ind w:left="581" w:right="0" w:hanging="465"/>
        <w:jc w:val="both"/>
      </w:pPr>
      <w:r>
        <w:rPr/>
        <w:t>Rizikoya</w:t>
      </w:r>
      <w:r>
        <w:rPr>
          <w:spacing w:val="-6"/>
        </w:rPr>
        <w:t> </w:t>
      </w:r>
      <w:r>
        <w:rPr/>
        <w:t>İlişkin</w:t>
      </w:r>
      <w:r>
        <w:rPr>
          <w:spacing w:val="-5"/>
        </w:rPr>
        <w:t> </w:t>
      </w:r>
      <w:r>
        <w:rPr/>
        <w:t>Olarak</w:t>
      </w:r>
      <w:r>
        <w:rPr>
          <w:spacing w:val="-9"/>
        </w:rPr>
        <w:t> </w:t>
      </w:r>
      <w:r>
        <w:rPr/>
        <w:t>Sigortacının</w:t>
      </w:r>
      <w:r>
        <w:rPr>
          <w:spacing w:val="-5"/>
        </w:rPr>
        <w:t> </w:t>
      </w:r>
      <w:r>
        <w:rPr/>
        <w:t>Hak,</w:t>
      </w:r>
      <w:r>
        <w:rPr>
          <w:spacing w:val="-7"/>
        </w:rPr>
        <w:t> </w:t>
      </w:r>
      <w:r>
        <w:rPr/>
        <w:t>Borç</w:t>
      </w:r>
      <w:r>
        <w:rPr>
          <w:spacing w:val="-8"/>
        </w:rPr>
        <w:t> </w:t>
      </w:r>
      <w:r>
        <w:rPr/>
        <w:t>ve</w:t>
      </w:r>
      <w:r>
        <w:rPr>
          <w:spacing w:val="-6"/>
        </w:rPr>
        <w:t> </w:t>
      </w:r>
      <w:r>
        <w:rPr/>
        <w:t>Yükümlülükleri</w:t>
      </w:r>
    </w:p>
    <w:p>
      <w:pPr>
        <w:pStyle w:val="BodyText"/>
        <w:rPr>
          <w:b/>
        </w:rPr>
      </w:pPr>
    </w:p>
    <w:p>
      <w:pPr>
        <w:pStyle w:val="ListParagraph"/>
        <w:numPr>
          <w:ilvl w:val="2"/>
          <w:numId w:val="6"/>
        </w:numPr>
        <w:tabs>
          <w:tab w:pos="760" w:val="left" w:leader="none"/>
        </w:tabs>
        <w:spacing w:line="240" w:lineRule="auto" w:before="0" w:after="0"/>
        <w:ind w:left="759" w:right="0" w:hanging="643"/>
        <w:jc w:val="both"/>
        <w:rPr>
          <w:b/>
          <w:sz w:val="24"/>
        </w:rPr>
      </w:pPr>
      <w:r>
        <w:rPr>
          <w:b/>
          <w:sz w:val="24"/>
        </w:rPr>
        <w:t>Giderlerin</w:t>
      </w:r>
      <w:r>
        <w:rPr>
          <w:b/>
          <w:spacing w:val="-17"/>
          <w:sz w:val="24"/>
        </w:rPr>
        <w:t> </w:t>
      </w:r>
      <w:r>
        <w:rPr>
          <w:b/>
          <w:sz w:val="24"/>
        </w:rPr>
        <w:t>Ödenmesi</w:t>
      </w:r>
    </w:p>
    <w:p>
      <w:pPr>
        <w:pStyle w:val="BodyText"/>
        <w:spacing w:before="7"/>
        <w:rPr>
          <w:b/>
          <w:sz w:val="25"/>
        </w:rPr>
      </w:pPr>
    </w:p>
    <w:p>
      <w:pPr>
        <w:pStyle w:val="BodyText"/>
        <w:spacing w:line="249" w:lineRule="auto"/>
        <w:ind w:left="115" w:right="106"/>
        <w:jc w:val="both"/>
      </w:pPr>
      <w:r>
        <w:rPr/>
        <w:t>Sigortacı, zararı önleme, azaltma, artmasına engel olma ve rücu haklarının korunmasına yönelik sigortalının yaptığı makul giderleri, bunlar faydasız kalmış olsalar bile, sigorta tazminatından ayrı olarak tazmin eder.</w:t>
      </w:r>
    </w:p>
    <w:p>
      <w:pPr>
        <w:pStyle w:val="BodyText"/>
        <w:spacing w:before="1"/>
        <w:rPr>
          <w:sz w:val="25"/>
        </w:rPr>
      </w:pPr>
    </w:p>
    <w:p>
      <w:pPr>
        <w:pStyle w:val="BodyText"/>
        <w:spacing w:line="249" w:lineRule="auto" w:before="1"/>
        <w:ind w:left="115" w:right="179"/>
        <w:jc w:val="both"/>
      </w:pPr>
      <w:r>
        <w:rPr/>
        <w:t>Sigortacı, sigorta ettirenin istemi üzerine giderlerin karşılanması amacıyla gerekli tutarı avans olarak ödemek zorundadır.</w:t>
      </w:r>
    </w:p>
    <w:p>
      <w:pPr>
        <w:pStyle w:val="BodyText"/>
        <w:spacing w:before="8"/>
      </w:pPr>
    </w:p>
    <w:p>
      <w:pPr>
        <w:pStyle w:val="Heading1"/>
        <w:numPr>
          <w:ilvl w:val="2"/>
          <w:numId w:val="6"/>
        </w:numPr>
        <w:tabs>
          <w:tab w:pos="760" w:val="left" w:leader="none"/>
        </w:tabs>
        <w:spacing w:line="240" w:lineRule="auto" w:before="0" w:after="0"/>
        <w:ind w:left="759" w:right="0" w:hanging="643"/>
        <w:jc w:val="both"/>
      </w:pPr>
      <w:r>
        <w:rPr/>
        <w:t>Tazminata İlişkin Avans</w:t>
      </w:r>
      <w:r>
        <w:rPr>
          <w:spacing w:val="-20"/>
        </w:rPr>
        <w:t> </w:t>
      </w:r>
      <w:r>
        <w:rPr/>
        <w:t>Verilmesi</w:t>
      </w:r>
    </w:p>
    <w:p>
      <w:pPr>
        <w:pStyle w:val="BodyText"/>
        <w:spacing w:before="2"/>
        <w:rPr>
          <w:b/>
          <w:sz w:val="25"/>
        </w:rPr>
      </w:pPr>
    </w:p>
    <w:p>
      <w:pPr>
        <w:pStyle w:val="BodyText"/>
        <w:spacing w:line="249" w:lineRule="auto" w:before="1"/>
        <w:ind w:left="115" w:right="113"/>
        <w:jc w:val="both"/>
      </w:pPr>
      <w:r>
        <w:rPr/>
        <w:t>Sigortacı, sigortalının talebi üzerine, tazminat talebine ilişkin giderler için avans vermek zorundadır.</w:t>
      </w:r>
    </w:p>
    <w:p>
      <w:pPr>
        <w:pStyle w:val="BodyText"/>
        <w:spacing w:before="8"/>
      </w:pPr>
    </w:p>
    <w:p>
      <w:pPr>
        <w:pStyle w:val="Heading1"/>
        <w:numPr>
          <w:ilvl w:val="2"/>
          <w:numId w:val="6"/>
        </w:numPr>
        <w:tabs>
          <w:tab w:pos="760" w:val="left" w:leader="none"/>
        </w:tabs>
        <w:spacing w:line="240" w:lineRule="auto" w:before="0" w:after="0"/>
        <w:ind w:left="759" w:right="0" w:hanging="643"/>
        <w:jc w:val="both"/>
      </w:pPr>
      <w:r>
        <w:rPr/>
        <w:t>Tazminatın</w:t>
      </w:r>
      <w:r>
        <w:rPr>
          <w:spacing w:val="-10"/>
        </w:rPr>
        <w:t> </w:t>
      </w:r>
      <w:r>
        <w:rPr/>
        <w:t>Ödenmesi</w:t>
      </w:r>
    </w:p>
    <w:p>
      <w:pPr>
        <w:pStyle w:val="BodyText"/>
        <w:spacing w:before="7"/>
        <w:rPr>
          <w:b/>
          <w:sz w:val="25"/>
        </w:rPr>
      </w:pPr>
    </w:p>
    <w:p>
      <w:pPr>
        <w:pStyle w:val="BodyText"/>
        <w:spacing w:line="249" w:lineRule="auto"/>
        <w:ind w:left="115" w:right="107"/>
        <w:jc w:val="both"/>
      </w:pPr>
      <w:r>
        <w:rPr/>
        <w:t>Rizikonun gerçekleşmesi hâlinde, özel durumlar hariç olmak üzere, hangi belgelerin istenileceği poliçe ekinde açık ve anlaşılır şekilde yer almak zorundadır.</w:t>
      </w:r>
    </w:p>
    <w:p>
      <w:pPr>
        <w:pStyle w:val="BodyText"/>
        <w:spacing w:before="1"/>
        <w:rPr>
          <w:sz w:val="25"/>
        </w:rPr>
      </w:pPr>
    </w:p>
    <w:p>
      <w:pPr>
        <w:pStyle w:val="BodyText"/>
        <w:spacing w:line="249" w:lineRule="auto" w:before="1"/>
        <w:ind w:left="115" w:right="105"/>
        <w:jc w:val="both"/>
      </w:pPr>
      <w:r>
        <w:rPr/>
        <w:t>Sigorta tazminatı, rizikonun gerçekleşmesini müteakip </w:t>
      </w:r>
      <w:r>
        <w:rPr>
          <w:spacing w:val="-3"/>
        </w:rPr>
        <w:t>ve </w:t>
      </w:r>
      <w:r>
        <w:rPr/>
        <w:t>rizikoyla ilgili belgelerin  sigortacıya verilmesinden sonra sigortacının edimine ilişkin araştırmaları bitince </w:t>
      </w:r>
      <w:r>
        <w:rPr>
          <w:spacing w:val="-3"/>
        </w:rPr>
        <w:t>ve </w:t>
      </w:r>
      <w:r>
        <w:rPr/>
        <w:t>her hâlde rizikonun gerçekleştiğine ilişkin bildirimin yapılmasından kırkbeş gün sonra muaccel olur. Sigortacıya yüklenemeyen </w:t>
      </w:r>
      <w:r>
        <w:rPr>
          <w:spacing w:val="-3"/>
        </w:rPr>
        <w:t>bir </w:t>
      </w:r>
      <w:r>
        <w:rPr/>
        <w:t>kusurdan dolayı inceleme gecikmişse süre</w:t>
      </w:r>
      <w:r>
        <w:rPr>
          <w:spacing w:val="-23"/>
        </w:rPr>
        <w:t> </w:t>
      </w:r>
      <w:r>
        <w:rPr/>
        <w:t>işlemez.</w:t>
      </w:r>
    </w:p>
    <w:p>
      <w:pPr>
        <w:pStyle w:val="BodyText"/>
        <w:spacing w:before="1"/>
        <w:rPr>
          <w:sz w:val="25"/>
        </w:rPr>
      </w:pPr>
    </w:p>
    <w:p>
      <w:pPr>
        <w:pStyle w:val="BodyText"/>
        <w:spacing w:line="249" w:lineRule="auto" w:before="1"/>
        <w:ind w:left="115" w:right="100"/>
        <w:jc w:val="both"/>
      </w:pPr>
      <w:r>
        <w:rPr/>
        <w:t>Araştırmalar, rizikonun gerçekleştiğine ilişkin bildirimin yapılmasından ya da zarar görenin doğrudan sigortacıya başvurmasından başlayarak üç ay içinde tamamlanamamışsa; sigortacı, tazminattan mahsup edilmek üzere, tarafların mutabakatı veya anlaşmazlık hâlinde mahkemece yaptırılacak ön ekspertiz sonucuna göre süratle tespit edilecek hasar miktarının en az yüzde ellisini avans olarak öder.</w:t>
      </w:r>
    </w:p>
    <w:p>
      <w:pPr>
        <w:pStyle w:val="BodyText"/>
        <w:spacing w:before="1"/>
        <w:rPr>
          <w:sz w:val="25"/>
        </w:rPr>
      </w:pPr>
    </w:p>
    <w:p>
      <w:pPr>
        <w:pStyle w:val="BodyText"/>
        <w:spacing w:before="1"/>
        <w:ind w:left="115"/>
        <w:jc w:val="both"/>
      </w:pPr>
      <w:r>
        <w:rPr/>
        <w:t>Borç muaccel olunca, sigortacı ihtara gerek kalmaksızın temerrüde düşer.</w:t>
      </w:r>
    </w:p>
    <w:p>
      <w:pPr>
        <w:pStyle w:val="BodyText"/>
        <w:spacing w:before="1"/>
        <w:rPr>
          <w:sz w:val="26"/>
        </w:rPr>
      </w:pPr>
    </w:p>
    <w:p>
      <w:pPr>
        <w:pStyle w:val="BodyText"/>
        <w:spacing w:line="249" w:lineRule="auto"/>
        <w:ind w:left="115" w:right="103"/>
        <w:jc w:val="both"/>
      </w:pPr>
      <w:r>
        <w:rPr/>
        <w:t>Sigortacının temerrüt faizi ödeme borcundan kurtulmasını öngören sözleşme hükümleri geçersizdir.</w:t>
      </w:r>
    </w:p>
    <w:p>
      <w:pPr>
        <w:pStyle w:val="BodyText"/>
        <w:spacing w:before="8"/>
      </w:pPr>
    </w:p>
    <w:p>
      <w:pPr>
        <w:pStyle w:val="Heading1"/>
        <w:numPr>
          <w:ilvl w:val="2"/>
          <w:numId w:val="6"/>
        </w:numPr>
        <w:tabs>
          <w:tab w:pos="760" w:val="left" w:leader="none"/>
        </w:tabs>
        <w:spacing w:line="240" w:lineRule="auto" w:before="0" w:after="0"/>
        <w:ind w:left="759" w:right="0" w:hanging="643"/>
        <w:jc w:val="both"/>
      </w:pPr>
      <w:r>
        <w:rPr/>
        <w:t>Sigortalıya</w:t>
      </w:r>
      <w:r>
        <w:rPr>
          <w:spacing w:val="-10"/>
        </w:rPr>
        <w:t> </w:t>
      </w:r>
      <w:r>
        <w:rPr/>
        <w:t>Yardım</w:t>
      </w:r>
    </w:p>
    <w:p>
      <w:pPr>
        <w:pStyle w:val="BodyText"/>
        <w:spacing w:before="2"/>
        <w:rPr>
          <w:b/>
          <w:sz w:val="25"/>
        </w:rPr>
      </w:pPr>
    </w:p>
    <w:p>
      <w:pPr>
        <w:pStyle w:val="BodyText"/>
        <w:spacing w:line="249" w:lineRule="auto" w:before="1"/>
        <w:ind w:left="115" w:right="106"/>
        <w:jc w:val="both"/>
      </w:pPr>
      <w:r>
        <w:rPr/>
        <w:t>Sigortacı, sigortalı tarafından usulüne uygun olarak bildirimde bulunulması ya da zarar gören tarafından kendisine doğrudan talepte bulunulmasından itibaren beş gün içinde, zarara uğrayanın istemleriyle ilgili olarak ve sigortalının adına, fakat sorumluluk ve tüm giderler kendisine ait olmak üzere, gerekli hukuki işlemlerin gerçekleştirilip, kararların alınmasını ve ayrıca savunmaya yardımda bulunmayı üstlenip üstlenmeyeceğini sigortalıya bildirir. Bu sürenin sonuna kadar yapılması zorunlu işlemleri sigortalı yürütür.</w:t>
      </w:r>
    </w:p>
    <w:p>
      <w:pPr>
        <w:pStyle w:val="BodyText"/>
        <w:spacing w:before="1"/>
        <w:rPr>
          <w:sz w:val="25"/>
        </w:rPr>
      </w:pPr>
    </w:p>
    <w:p>
      <w:pPr>
        <w:pStyle w:val="BodyText"/>
        <w:spacing w:before="1"/>
        <w:ind w:left="115"/>
        <w:jc w:val="both"/>
      </w:pPr>
      <w:r>
        <w:rPr/>
        <w:t>Sigortacı yaptığı işlemlerde sigortalının hak ve menfaatlerini gözetir.</w:t>
      </w:r>
    </w:p>
    <w:p>
      <w:pPr>
        <w:pStyle w:val="BodyText"/>
        <w:spacing w:line="249" w:lineRule="auto" w:before="12"/>
        <w:ind w:left="115" w:right="105"/>
        <w:jc w:val="both"/>
      </w:pPr>
      <w:r>
        <w:rPr/>
        <w:t>Sigortacı bildirimde bulunmamışsa, sigortalı aleyhine kesinleşen tazminatı öder. Ancak, sigortalının   sigortacının   onayını almadan   yaptığı sulh   sözleşmesi,   bildirimden  </w:t>
      </w:r>
      <w:r>
        <w:rPr>
          <w:spacing w:val="55"/>
        </w:rPr>
        <w:t> </w:t>
      </w:r>
      <w:r>
        <w:rPr/>
        <w:t>itibaren</w:t>
      </w:r>
    </w:p>
    <w:p>
      <w:pPr>
        <w:spacing w:after="0" w:line="249" w:lineRule="auto"/>
        <w:jc w:val="both"/>
        <w:sectPr>
          <w:pgSz w:w="11900" w:h="16840"/>
          <w:pgMar w:header="0" w:footer="970" w:top="940" w:bottom="1180" w:left="1300" w:right="1300"/>
        </w:sectPr>
      </w:pPr>
    </w:p>
    <w:p>
      <w:pPr>
        <w:pStyle w:val="BodyText"/>
        <w:spacing w:line="249" w:lineRule="auto" w:before="56"/>
        <w:ind w:left="115" w:right="129"/>
        <w:jc w:val="both"/>
      </w:pPr>
      <w:r>
        <w:rPr/>
        <w:t>onbeş gün içinde onay verilmemişse, sigortacıya karşı geçersizdir; sigortacı haklı olmayan sebeplerle sulhe onay vermekten kaçınamaz.</w:t>
      </w:r>
    </w:p>
    <w:p>
      <w:pPr>
        <w:pStyle w:val="BodyText"/>
        <w:spacing w:before="8"/>
      </w:pPr>
    </w:p>
    <w:p>
      <w:pPr>
        <w:pStyle w:val="Heading1"/>
        <w:numPr>
          <w:ilvl w:val="2"/>
          <w:numId w:val="6"/>
        </w:numPr>
        <w:tabs>
          <w:tab w:pos="760" w:val="left" w:leader="none"/>
        </w:tabs>
        <w:spacing w:line="240" w:lineRule="auto" w:before="0" w:after="0"/>
        <w:ind w:left="759" w:right="0" w:hanging="643"/>
        <w:jc w:val="both"/>
      </w:pPr>
      <w:r>
        <w:rPr/>
        <w:t>Sigortacının Zarar Görenden Bilgi Alma</w:t>
      </w:r>
      <w:r>
        <w:rPr>
          <w:spacing w:val="-27"/>
        </w:rPr>
        <w:t> </w:t>
      </w:r>
      <w:r>
        <w:rPr/>
        <w:t>Hakkı</w:t>
      </w:r>
    </w:p>
    <w:p>
      <w:pPr>
        <w:pStyle w:val="BodyText"/>
        <w:spacing w:before="2"/>
        <w:rPr>
          <w:b/>
          <w:sz w:val="25"/>
        </w:rPr>
      </w:pPr>
    </w:p>
    <w:p>
      <w:pPr>
        <w:pStyle w:val="BodyText"/>
        <w:spacing w:line="249" w:lineRule="auto" w:before="1"/>
        <w:ind w:left="115" w:right="121"/>
        <w:jc w:val="both"/>
      </w:pPr>
      <w:r>
        <w:rPr/>
        <w:t>Sigortacı, zarara sebep olan olayın ve zarar miktarının belirlenmesi amacıyla, zarar görenden bilgi isteyebilir. Zarar gören, sağlanması ihtimali bulunan </w:t>
      </w:r>
      <w:r>
        <w:rPr>
          <w:spacing w:val="-3"/>
        </w:rPr>
        <w:t>ve </w:t>
      </w:r>
      <w:r>
        <w:rPr/>
        <w:t>istenilmesi haklı görülebilecek ilgili </w:t>
      </w:r>
      <w:r>
        <w:rPr>
          <w:spacing w:val="3"/>
        </w:rPr>
        <w:t>tüm </w:t>
      </w:r>
      <w:r>
        <w:rPr/>
        <w:t>belgeleri sigortacıya  vermek  zorundadır.  Zarar  görenin  </w:t>
      </w:r>
      <w:r>
        <w:rPr>
          <w:spacing w:val="-3"/>
        </w:rPr>
        <w:t>bu  </w:t>
      </w:r>
      <w:r>
        <w:rPr/>
        <w:t>zorunluluğa  uymaması hâlinde, durumun zarar görene yazılı bildirilmiş olması kaydıyla, sigortacının sorumluluğu, zorunluluk yerine getirilmiş olsaydı ödemek  zorunda  kalacağı miktarla sınırlıdır.</w:t>
      </w:r>
    </w:p>
    <w:p>
      <w:pPr>
        <w:pStyle w:val="BodyText"/>
        <w:spacing w:before="8"/>
      </w:pPr>
    </w:p>
    <w:p>
      <w:pPr>
        <w:pStyle w:val="Heading1"/>
        <w:numPr>
          <w:ilvl w:val="2"/>
          <w:numId w:val="6"/>
        </w:numPr>
        <w:tabs>
          <w:tab w:pos="760" w:val="left" w:leader="none"/>
        </w:tabs>
        <w:spacing w:line="240" w:lineRule="auto" w:before="0" w:after="0"/>
        <w:ind w:left="759" w:right="0" w:hanging="643"/>
        <w:jc w:val="both"/>
      </w:pPr>
      <w:r>
        <w:rPr/>
        <w:t>Zarar Görenle İlişkide İfa</w:t>
      </w:r>
      <w:r>
        <w:rPr>
          <w:spacing w:val="-30"/>
        </w:rPr>
        <w:t> </w:t>
      </w:r>
      <w:r>
        <w:rPr/>
        <w:t>Yükümlülüğü</w:t>
      </w:r>
    </w:p>
    <w:p>
      <w:pPr>
        <w:pStyle w:val="BodyText"/>
        <w:spacing w:before="7"/>
        <w:rPr>
          <w:b/>
          <w:sz w:val="25"/>
        </w:rPr>
      </w:pPr>
    </w:p>
    <w:p>
      <w:pPr>
        <w:pStyle w:val="BodyText"/>
        <w:spacing w:line="249" w:lineRule="auto"/>
        <w:ind w:left="115" w:right="134"/>
        <w:jc w:val="both"/>
      </w:pPr>
      <w:r>
        <w:rPr/>
        <w:t>Sigortacı, sigortalıya karşı ifa borcundan tamamen veya kısmen kurtulmuş olsa da,  zarar gören bakımından ifa borcu, zorunlu sigorta miktarına kadar devam eder.</w:t>
      </w:r>
    </w:p>
    <w:p>
      <w:pPr>
        <w:pStyle w:val="BodyText"/>
        <w:spacing w:before="1"/>
        <w:rPr>
          <w:sz w:val="25"/>
        </w:rPr>
      </w:pPr>
    </w:p>
    <w:p>
      <w:pPr>
        <w:pStyle w:val="BodyText"/>
        <w:spacing w:line="249" w:lineRule="auto" w:before="1"/>
        <w:ind w:left="115" w:right="130"/>
        <w:jc w:val="both"/>
      </w:pPr>
      <w:r>
        <w:rPr/>
        <w:t>Sigorta ilişkisinin sona ermesi, zarar görene karşı ancak, sigortacının sözleşmenin sona erdiğini veya ereceğini yetkili mercilere bildirmesinden bir ay sonra hüküm doğurur.</w:t>
      </w:r>
    </w:p>
    <w:p>
      <w:pPr>
        <w:pStyle w:val="BodyText"/>
        <w:spacing w:before="1"/>
        <w:rPr>
          <w:sz w:val="25"/>
        </w:rPr>
      </w:pPr>
    </w:p>
    <w:p>
      <w:pPr>
        <w:pStyle w:val="BodyText"/>
        <w:spacing w:line="249" w:lineRule="auto" w:before="1"/>
        <w:ind w:left="115" w:right="133"/>
        <w:jc w:val="both"/>
      </w:pPr>
      <w:r>
        <w:rPr/>
        <w:t>Zarar, sosyal güvenlik kurumları tarafından karşılandığı ölçüde sigortacının sorumluluğu sona erer.</w:t>
      </w:r>
    </w:p>
    <w:p>
      <w:pPr>
        <w:pStyle w:val="BodyText"/>
        <w:spacing w:before="11"/>
        <w:rPr>
          <w:sz w:val="20"/>
        </w:rPr>
      </w:pPr>
    </w:p>
    <w:p>
      <w:pPr>
        <w:pStyle w:val="Heading1"/>
        <w:numPr>
          <w:ilvl w:val="1"/>
          <w:numId w:val="8"/>
        </w:numPr>
        <w:tabs>
          <w:tab w:pos="582" w:val="left" w:leader="none"/>
        </w:tabs>
        <w:spacing w:line="240" w:lineRule="auto" w:before="0" w:after="0"/>
        <w:ind w:left="581" w:right="0" w:hanging="465"/>
        <w:jc w:val="both"/>
      </w:pPr>
      <w:r>
        <w:rPr/>
        <w:t>Halefiyet</w:t>
      </w:r>
    </w:p>
    <w:p>
      <w:pPr>
        <w:pStyle w:val="BodyText"/>
        <w:spacing w:before="2"/>
        <w:rPr>
          <w:b/>
          <w:sz w:val="25"/>
        </w:rPr>
      </w:pPr>
    </w:p>
    <w:p>
      <w:pPr>
        <w:pStyle w:val="BodyText"/>
        <w:spacing w:before="1"/>
        <w:ind w:left="115"/>
        <w:jc w:val="both"/>
      </w:pPr>
      <w:r>
        <w:rPr/>
        <w:t>Sigortacı, ödediği tazminat tutarınca, hukuken sigortalının yerine geçer.</w:t>
      </w:r>
    </w:p>
    <w:p>
      <w:pPr>
        <w:pStyle w:val="Heading1"/>
        <w:numPr>
          <w:ilvl w:val="1"/>
          <w:numId w:val="8"/>
        </w:numPr>
        <w:tabs>
          <w:tab w:pos="582" w:val="left" w:leader="none"/>
        </w:tabs>
        <w:spacing w:line="240" w:lineRule="auto" w:before="213" w:after="0"/>
        <w:ind w:left="581" w:right="0" w:hanging="465"/>
        <w:jc w:val="both"/>
      </w:pPr>
      <w:r>
        <w:rPr/>
        <w:t>Doğrudan Dava</w:t>
      </w:r>
      <w:r>
        <w:rPr>
          <w:spacing w:val="-17"/>
        </w:rPr>
        <w:t> </w:t>
      </w:r>
      <w:r>
        <w:rPr/>
        <w:t>Hakkı</w:t>
      </w:r>
    </w:p>
    <w:p>
      <w:pPr>
        <w:pStyle w:val="BodyText"/>
        <w:spacing w:before="10"/>
        <w:rPr>
          <w:b/>
          <w:sz w:val="21"/>
        </w:rPr>
      </w:pPr>
    </w:p>
    <w:p>
      <w:pPr>
        <w:pStyle w:val="BodyText"/>
        <w:spacing w:line="249" w:lineRule="auto"/>
        <w:ind w:left="115" w:right="117"/>
        <w:jc w:val="both"/>
      </w:pPr>
      <w:r>
        <w:rPr/>
        <w:t>Zarar gören, uğradığı zararın sigorta bedeline kadar olan kısmının tazminini, sigorta sözleşmesi için geçerli zamanaşımı süresi içinde kalmak şartıyla, doğrudan sigortacıdan isteyebilir.</w:t>
      </w:r>
    </w:p>
    <w:p>
      <w:pPr>
        <w:pStyle w:val="Heading1"/>
        <w:numPr>
          <w:ilvl w:val="0"/>
          <w:numId w:val="9"/>
        </w:numPr>
        <w:tabs>
          <w:tab w:pos="414" w:val="left" w:leader="none"/>
        </w:tabs>
        <w:spacing w:line="240" w:lineRule="auto" w:before="207" w:after="0"/>
        <w:ind w:left="413" w:right="0" w:hanging="297"/>
        <w:jc w:val="both"/>
      </w:pPr>
      <w:r>
        <w:rPr/>
        <w:t>ÇEŞİTLİ</w:t>
      </w:r>
      <w:r>
        <w:rPr>
          <w:spacing w:val="-8"/>
        </w:rPr>
        <w:t> </w:t>
      </w:r>
      <w:r>
        <w:rPr/>
        <w:t>HÜKÜMLER</w:t>
      </w:r>
    </w:p>
    <w:p>
      <w:pPr>
        <w:pStyle w:val="BodyText"/>
        <w:rPr>
          <w:b/>
          <w:sz w:val="21"/>
        </w:rPr>
      </w:pPr>
    </w:p>
    <w:p>
      <w:pPr>
        <w:pStyle w:val="ListParagraph"/>
        <w:numPr>
          <w:ilvl w:val="1"/>
          <w:numId w:val="9"/>
        </w:numPr>
        <w:tabs>
          <w:tab w:pos="592" w:val="left" w:leader="none"/>
        </w:tabs>
        <w:spacing w:line="240" w:lineRule="auto" w:before="1" w:after="0"/>
        <w:ind w:left="591" w:right="0" w:hanging="475"/>
        <w:jc w:val="both"/>
        <w:rPr>
          <w:b/>
          <w:sz w:val="24"/>
        </w:rPr>
      </w:pPr>
      <w:r>
        <w:rPr>
          <w:b/>
          <w:sz w:val="24"/>
        </w:rPr>
        <w:t>Sigorta Priminin Ödenmesi ve Sigortacının Sorumluluğunun</w:t>
      </w:r>
      <w:r>
        <w:rPr>
          <w:b/>
          <w:spacing w:val="-31"/>
          <w:sz w:val="24"/>
        </w:rPr>
        <w:t> </w:t>
      </w:r>
      <w:r>
        <w:rPr>
          <w:b/>
          <w:sz w:val="24"/>
        </w:rPr>
        <w:t>Başlaması</w:t>
      </w:r>
    </w:p>
    <w:p>
      <w:pPr>
        <w:pStyle w:val="BodyText"/>
        <w:spacing w:before="6"/>
        <w:rPr>
          <w:b/>
          <w:sz w:val="23"/>
        </w:rPr>
      </w:pPr>
    </w:p>
    <w:p>
      <w:pPr>
        <w:pStyle w:val="BodyText"/>
        <w:ind w:left="115" w:right="122"/>
        <w:jc w:val="both"/>
      </w:pPr>
      <w:r>
        <w:rPr/>
        <w:t>Sigortacının sorumluluğu, primin ödenmesi ile başlar. Aksi kararlaştırılmadıkça, primin ödenmemesi hâlinde, poliçe teslim edilmiş olsa dahi sigortacının sorumluluğu başlamaz ve bu şart poliçeye yazılır.</w:t>
      </w:r>
    </w:p>
    <w:p>
      <w:pPr>
        <w:pStyle w:val="BodyText"/>
        <w:spacing w:before="4"/>
      </w:pPr>
    </w:p>
    <w:p>
      <w:pPr>
        <w:pStyle w:val="Heading1"/>
        <w:numPr>
          <w:ilvl w:val="1"/>
          <w:numId w:val="9"/>
        </w:numPr>
        <w:tabs>
          <w:tab w:pos="592" w:val="left" w:leader="none"/>
        </w:tabs>
        <w:spacing w:line="240" w:lineRule="auto" w:before="1" w:after="0"/>
        <w:ind w:left="591" w:right="0" w:hanging="475"/>
        <w:jc w:val="both"/>
      </w:pPr>
      <w:r>
        <w:rPr/>
        <w:t>Sigortalı ve Sigorta Ettirenin Sözleşme Yapıldığı Sırada Beyan</w:t>
      </w:r>
      <w:r>
        <w:rPr>
          <w:spacing w:val="-41"/>
        </w:rPr>
        <w:t> </w:t>
      </w:r>
      <w:r>
        <w:rPr/>
        <w:t>Yükümlülüğü</w:t>
      </w:r>
    </w:p>
    <w:p>
      <w:pPr>
        <w:pStyle w:val="BodyText"/>
        <w:spacing w:before="6"/>
        <w:rPr>
          <w:b/>
          <w:sz w:val="23"/>
        </w:rPr>
      </w:pPr>
    </w:p>
    <w:p>
      <w:pPr>
        <w:pStyle w:val="BodyText"/>
        <w:ind w:left="115" w:right="123"/>
        <w:jc w:val="both"/>
      </w:pPr>
      <w:r>
        <w:rPr/>
        <w:t>Sigorta ettiren sözleşmenin yapılması sırasında bildiği veya bilmesi gereken tüm önemli hususları sigortacıya  bildirmekle  yükümlüdür.  Sigortacıya  bildirilmeyen,  eksik  veya  yanlış bildirilen hususlar, sözleşmenin değişik şartlarda  yapılmasını gerektirecek  nitelikte  ise, önemli kabul edilir. Sigortacı tarafından yazılı veya sözlü olarak sorulan hususlar, </w:t>
      </w:r>
      <w:r>
        <w:rPr>
          <w:spacing w:val="2"/>
        </w:rPr>
        <w:t>aksi </w:t>
      </w:r>
      <w:r>
        <w:rPr/>
        <w:t>ispat edilinceye kadar önemli</w:t>
      </w:r>
      <w:r>
        <w:rPr>
          <w:spacing w:val="-19"/>
        </w:rPr>
        <w:t> </w:t>
      </w:r>
      <w:r>
        <w:rPr/>
        <w:t>sayılır.</w:t>
      </w:r>
    </w:p>
    <w:p>
      <w:pPr>
        <w:pStyle w:val="BodyText"/>
        <w:spacing w:before="9"/>
      </w:pPr>
    </w:p>
    <w:p>
      <w:pPr>
        <w:pStyle w:val="BodyText"/>
        <w:spacing w:line="249" w:lineRule="auto"/>
        <w:ind w:left="115" w:right="125"/>
        <w:jc w:val="both"/>
      </w:pPr>
      <w:r>
        <w:rPr/>
        <w:t>Sigortacı sigorta ettirene, cevaplaması için sorular içeren bir liste vermişse, sunulan listede  yer alan sorular dışında kalan hususlara ilişkin olarak sigorta ettirene hiçbir sorumluluk yüklenemez; meğerki, sigorta ettiren önemli </w:t>
      </w:r>
      <w:r>
        <w:rPr>
          <w:spacing w:val="-3"/>
        </w:rPr>
        <w:t>bir </w:t>
      </w:r>
      <w:r>
        <w:rPr/>
        <w:t>hususu kötü niyetle saklamış</w:t>
      </w:r>
      <w:r>
        <w:rPr>
          <w:spacing w:val="-28"/>
        </w:rPr>
        <w:t> </w:t>
      </w:r>
      <w:r>
        <w:rPr/>
        <w:t>olsun.</w:t>
      </w:r>
    </w:p>
    <w:p>
      <w:pPr>
        <w:spacing w:after="0" w:line="249" w:lineRule="auto"/>
        <w:jc w:val="both"/>
        <w:sectPr>
          <w:footerReference w:type="default" r:id="rId6"/>
          <w:pgSz w:w="11900" w:h="16840"/>
          <w:pgMar w:footer="996" w:header="0" w:top="940" w:bottom="1180" w:left="1300" w:right="1280"/>
          <w:pgNumType w:start="4"/>
        </w:sectPr>
      </w:pPr>
    </w:p>
    <w:p>
      <w:pPr>
        <w:pStyle w:val="BodyText"/>
        <w:spacing w:line="249" w:lineRule="auto" w:before="56"/>
        <w:ind w:left="115" w:right="105"/>
        <w:jc w:val="both"/>
      </w:pPr>
      <w:r>
        <w:rPr/>
        <w:t>Sigortacı için önemli olan bir husus bildirilmemiş veya yanlış bildirilmiş olduğu takdirde, sigortacı onbeş gün içinde sözleşmeden cayabilir veya prim farkı isteyebilir. İstenilen prim farkının </w:t>
      </w:r>
      <w:r>
        <w:rPr>
          <w:spacing w:val="4"/>
        </w:rPr>
        <w:t>on </w:t>
      </w:r>
      <w:r>
        <w:rPr/>
        <w:t>gün içinde kabul edilmemesi hâlinde, sözleşmeden cayılmış kabul olunur. Önemli hususun sigorta ettirenin kusuru  sonucu öğrenilememiş olması veya  sigorta  ettiren  tarafından önemli   sayılmaması durumu    değiştirmez.    Ancak,    bildirilmeyen    veya  yanlış bildirilen </w:t>
      </w:r>
      <w:r>
        <w:rPr>
          <w:spacing w:val="-3"/>
        </w:rPr>
        <w:t>bir </w:t>
      </w:r>
      <w:r>
        <w:rPr/>
        <w:t>hususun </w:t>
      </w:r>
      <w:r>
        <w:rPr>
          <w:spacing w:val="-3"/>
        </w:rPr>
        <w:t>ya </w:t>
      </w:r>
      <w:r>
        <w:rPr/>
        <w:t>da olgunun gerçek durumu sigortacı tarafından biliniyorsa, sigortacı beyan yükümlülüğünün ihlal  edilmiş olduğunu  ileri  sürerek  sözleşmeden  cayamaz. İspat </w:t>
      </w:r>
      <w:r>
        <w:rPr>
          <w:spacing w:val="-3"/>
        </w:rPr>
        <w:t>yükü </w:t>
      </w:r>
      <w:r>
        <w:rPr/>
        <w:t>sigorta ettirene</w:t>
      </w:r>
      <w:r>
        <w:rPr>
          <w:spacing w:val="-3"/>
        </w:rPr>
        <w:t> </w:t>
      </w:r>
      <w:r>
        <w:rPr/>
        <w:t>aittir.</w:t>
      </w:r>
    </w:p>
    <w:p>
      <w:pPr>
        <w:pStyle w:val="BodyText"/>
        <w:spacing w:before="1"/>
        <w:rPr>
          <w:sz w:val="25"/>
        </w:rPr>
      </w:pPr>
    </w:p>
    <w:p>
      <w:pPr>
        <w:pStyle w:val="BodyText"/>
        <w:spacing w:line="249" w:lineRule="auto" w:before="1"/>
        <w:ind w:left="115" w:right="105"/>
        <w:jc w:val="both"/>
      </w:pPr>
      <w:r>
        <w:rPr/>
        <w:t>Sigortacı, cayma hakkının kullanılmasından açıkça veya zımnen vazgeçmişse veya caymaya yol açan  ihlale  kendisi  sebebiyet  vermişse  </w:t>
      </w:r>
      <w:r>
        <w:rPr>
          <w:spacing w:val="-5"/>
        </w:rPr>
        <w:t>ya  </w:t>
      </w:r>
      <w:r>
        <w:rPr/>
        <w:t>da  sorularından  bazıları cevapsız  bırakıldığı hâlde sözleşmeyi yapmışsa sözleşmeden</w:t>
      </w:r>
      <w:r>
        <w:rPr>
          <w:spacing w:val="-34"/>
        </w:rPr>
        <w:t> </w:t>
      </w:r>
      <w:r>
        <w:rPr/>
        <w:t>cayamaz.</w:t>
      </w:r>
    </w:p>
    <w:p>
      <w:pPr>
        <w:pStyle w:val="BodyText"/>
        <w:spacing w:before="1"/>
        <w:rPr>
          <w:sz w:val="25"/>
        </w:rPr>
      </w:pPr>
    </w:p>
    <w:p>
      <w:pPr>
        <w:pStyle w:val="BodyText"/>
        <w:spacing w:line="249" w:lineRule="auto" w:before="1"/>
        <w:ind w:left="115" w:right="112"/>
        <w:jc w:val="both"/>
      </w:pPr>
      <w:r>
        <w:rPr/>
        <w:t>Cayma hâlinde, sigorta ettiren kasıtlı ise, sigortacı rizikoyu taşıdığı süreye ait primlere hak kazanır.</w:t>
      </w:r>
    </w:p>
    <w:p>
      <w:pPr>
        <w:pStyle w:val="BodyText"/>
        <w:spacing w:before="8"/>
      </w:pPr>
    </w:p>
    <w:p>
      <w:pPr>
        <w:pStyle w:val="Heading1"/>
        <w:numPr>
          <w:ilvl w:val="1"/>
          <w:numId w:val="9"/>
        </w:numPr>
        <w:tabs>
          <w:tab w:pos="592" w:val="left" w:leader="none"/>
        </w:tabs>
        <w:spacing w:line="240" w:lineRule="auto" w:before="0" w:after="0"/>
        <w:ind w:left="591" w:right="0" w:hanging="475"/>
        <w:jc w:val="both"/>
      </w:pPr>
      <w:r>
        <w:rPr/>
        <w:t>Sözleşmenin Devamı Sırasındaki Beyan</w:t>
      </w:r>
      <w:r>
        <w:rPr>
          <w:spacing w:val="-26"/>
        </w:rPr>
        <w:t> </w:t>
      </w:r>
      <w:r>
        <w:rPr/>
        <w:t>Yükümlülüğü</w:t>
      </w:r>
    </w:p>
    <w:p>
      <w:pPr>
        <w:pStyle w:val="BodyText"/>
        <w:spacing w:before="6"/>
        <w:rPr>
          <w:b/>
          <w:sz w:val="23"/>
        </w:rPr>
      </w:pPr>
    </w:p>
    <w:p>
      <w:pPr>
        <w:pStyle w:val="BodyText"/>
        <w:ind w:left="115" w:right="106"/>
        <w:jc w:val="both"/>
      </w:pPr>
      <w:r>
        <w:rPr/>
        <w:t>Sigorta ettiren, sözleşmenin yapılmasından sonra, sigortacının izni olmadan rizikoyu veya mevcut durumu ağırlaştırarak tazminat tutarının artmasını etkileyici davranış ve işlemlerde bulunamaz.</w:t>
      </w:r>
    </w:p>
    <w:p>
      <w:pPr>
        <w:pStyle w:val="BodyText"/>
        <w:spacing w:before="9"/>
      </w:pPr>
    </w:p>
    <w:p>
      <w:pPr>
        <w:pStyle w:val="BodyText"/>
        <w:spacing w:line="249" w:lineRule="auto"/>
        <w:ind w:left="115" w:right="110"/>
        <w:jc w:val="both"/>
      </w:pPr>
      <w:r>
        <w:rPr/>
        <w:t>Sigorta ettiren veya onun izniyle başkası, rizikonun gerçekleşme ihtimalini artırıcı veya mevcut durumu ağırlaştırıcı işlemlerde bulunursa yahut sözleşme yapılırken açıkça riziko ağırlaşması olarak kabul edilmiş bulunan hususlardan biri gerçekleşirse derhâl; bu işlemler bilgisi dışında yapılmışsa, bu hususu öğrendiği tarihten itibaren en geç on gün içinde durumu sigortacıya bildirir.</w:t>
      </w:r>
    </w:p>
    <w:p>
      <w:pPr>
        <w:pStyle w:val="BodyText"/>
        <w:spacing w:before="1"/>
        <w:rPr>
          <w:sz w:val="25"/>
        </w:rPr>
      </w:pPr>
    </w:p>
    <w:p>
      <w:pPr>
        <w:pStyle w:val="BodyText"/>
        <w:spacing w:line="249" w:lineRule="auto" w:before="1"/>
        <w:ind w:left="115" w:right="103"/>
        <w:jc w:val="both"/>
      </w:pPr>
      <w:r>
        <w:rPr/>
        <w:t>Sigortacı sözleşmenin süresi içinde, rizikonun gerçekleşmesi veya mevcut durumun ağırlaşması ihtimalini </w:t>
      </w:r>
      <w:r>
        <w:rPr>
          <w:spacing w:val="-3"/>
        </w:rPr>
        <w:t>ya </w:t>
      </w:r>
      <w:r>
        <w:rPr/>
        <w:t>da sözleşmede riziko ağırlaşması olarak kabul edilebilecek olayların varlığını öğrendiği takdirde, </w:t>
      </w:r>
      <w:r>
        <w:rPr>
          <w:spacing w:val="-3"/>
        </w:rPr>
        <w:t>bu </w:t>
      </w:r>
      <w:r>
        <w:rPr/>
        <w:t>tarihten itibaren bir ay içinde sözleşmeyi feshedebilir veya prim farkı isteyebilir. Farkın on  gün  içinde  kabul  edilmemesi  hâlinde  sözleşme  feshedilmiş sayılır. Meğer ki, rizikonun artmasına, sigortacının menfaatiyle ilişkili bir husus  </w:t>
      </w:r>
      <w:r>
        <w:rPr>
          <w:spacing w:val="-3"/>
        </w:rPr>
        <w:t>ya </w:t>
      </w:r>
      <w:r>
        <w:rPr/>
        <w:t>da sigortacının sorumlu olduğu bir olay veya insanî </w:t>
      </w:r>
      <w:r>
        <w:rPr>
          <w:spacing w:val="-3"/>
        </w:rPr>
        <w:t>bir </w:t>
      </w:r>
      <w:r>
        <w:rPr/>
        <w:t>görevin yerine getirilmesi sebep olmasın.</w:t>
      </w:r>
    </w:p>
    <w:p>
      <w:pPr>
        <w:pStyle w:val="BodyText"/>
        <w:spacing w:before="1"/>
        <w:rPr>
          <w:sz w:val="25"/>
        </w:rPr>
      </w:pPr>
    </w:p>
    <w:p>
      <w:pPr>
        <w:pStyle w:val="BodyText"/>
        <w:spacing w:line="249" w:lineRule="auto" w:before="1"/>
        <w:ind w:left="115" w:right="107"/>
        <w:jc w:val="both"/>
      </w:pPr>
      <w:r>
        <w:rPr/>
        <w:t>Sigortacı,    rizikonun    gerçekleşmesinden önce,    sigorta    ettirenin     beyan  yükümlülüğünü kasıtlı olarak ihlal ettiğini öğrenince, birinci fıkraya göre sözleşmeyi feshetse bile, değişikliğin meydana geldiği sigorta dönemine </w:t>
      </w:r>
      <w:r>
        <w:rPr>
          <w:spacing w:val="-2"/>
        </w:rPr>
        <w:t>ait </w:t>
      </w:r>
      <w:r>
        <w:rPr/>
        <w:t>prime hak</w:t>
      </w:r>
      <w:r>
        <w:rPr>
          <w:spacing w:val="-34"/>
        </w:rPr>
        <w:t> </w:t>
      </w:r>
      <w:r>
        <w:rPr/>
        <w:t>kazanır.</w:t>
      </w:r>
    </w:p>
    <w:p>
      <w:pPr>
        <w:pStyle w:val="BodyText"/>
        <w:spacing w:before="8"/>
      </w:pPr>
    </w:p>
    <w:p>
      <w:pPr>
        <w:pStyle w:val="Heading1"/>
        <w:numPr>
          <w:ilvl w:val="1"/>
          <w:numId w:val="9"/>
        </w:numPr>
        <w:tabs>
          <w:tab w:pos="592" w:val="left" w:leader="none"/>
        </w:tabs>
        <w:spacing w:line="240" w:lineRule="auto" w:before="0" w:after="0"/>
        <w:ind w:left="591" w:right="0" w:hanging="475"/>
        <w:jc w:val="both"/>
      </w:pPr>
      <w:r>
        <w:rPr/>
        <w:t>Sigorta Ettirenin ve Sigortalının</w:t>
      </w:r>
      <w:r>
        <w:rPr>
          <w:spacing w:val="-23"/>
        </w:rPr>
        <w:t> </w:t>
      </w:r>
      <w:r>
        <w:rPr/>
        <w:t>Durumu</w:t>
      </w:r>
    </w:p>
    <w:p>
      <w:pPr>
        <w:pStyle w:val="BodyText"/>
        <w:rPr>
          <w:b/>
        </w:rPr>
      </w:pPr>
    </w:p>
    <w:p>
      <w:pPr>
        <w:pStyle w:val="BodyText"/>
        <w:spacing w:line="274" w:lineRule="exact"/>
        <w:ind w:left="115" w:right="106"/>
        <w:jc w:val="both"/>
      </w:pPr>
      <w:r>
        <w:rPr/>
        <w:t>Sigorta ettirenin bilgisine </w:t>
      </w:r>
      <w:r>
        <w:rPr>
          <w:spacing w:val="-3"/>
        </w:rPr>
        <w:t>ve </w:t>
      </w:r>
      <w:r>
        <w:rPr/>
        <w:t>davranışına hukuki sonuç bağlanan durumlarda, sigortadan  haberi   olması şartı </w:t>
      </w:r>
      <w:r>
        <w:rPr>
          <w:spacing w:val="-4"/>
        </w:rPr>
        <w:t>ile </w:t>
      </w:r>
      <w:r>
        <w:rPr>
          <w:spacing w:val="52"/>
        </w:rPr>
        <w:t> </w:t>
      </w:r>
      <w:r>
        <w:rPr/>
        <w:t>sigortalının   da   lehtarın   bilgisi   ve   davranışı da   dikkate   </w:t>
      </w:r>
      <w:r>
        <w:rPr>
          <w:spacing w:val="37"/>
        </w:rPr>
        <w:t> </w:t>
      </w:r>
      <w:r>
        <w:rPr/>
        <w:t>alınır.</w:t>
      </w:r>
    </w:p>
    <w:p>
      <w:pPr>
        <w:pStyle w:val="BodyText"/>
        <w:spacing w:before="1"/>
      </w:pPr>
    </w:p>
    <w:p>
      <w:pPr>
        <w:pStyle w:val="Heading1"/>
        <w:numPr>
          <w:ilvl w:val="1"/>
          <w:numId w:val="9"/>
        </w:numPr>
        <w:tabs>
          <w:tab w:pos="597" w:val="left" w:leader="none"/>
        </w:tabs>
        <w:spacing w:line="240" w:lineRule="auto" w:before="1" w:after="0"/>
        <w:ind w:left="596" w:right="0" w:hanging="480"/>
        <w:jc w:val="both"/>
      </w:pPr>
      <w:r>
        <w:rPr/>
        <w:t>Tebliğ ve</w:t>
      </w:r>
      <w:r>
        <w:rPr>
          <w:spacing w:val="-15"/>
        </w:rPr>
        <w:t> </w:t>
      </w:r>
      <w:r>
        <w:rPr/>
        <w:t>İhbarlar</w:t>
      </w:r>
    </w:p>
    <w:p>
      <w:pPr>
        <w:pStyle w:val="BodyText"/>
        <w:spacing w:before="6"/>
        <w:rPr>
          <w:b/>
          <w:sz w:val="23"/>
        </w:rPr>
      </w:pPr>
    </w:p>
    <w:p>
      <w:pPr>
        <w:pStyle w:val="BodyText"/>
        <w:spacing w:line="242" w:lineRule="auto"/>
        <w:ind w:left="115" w:right="100"/>
        <w:jc w:val="both"/>
      </w:pPr>
      <w:r>
        <w:rPr/>
        <w:t>Sigortalının ve sigorta ettirenin bildirimleri, sigorta şirketinin merkezine veya sigorta sözleşmesi yapan ya da yapılmasına aracılık eden acenteye yapılır.</w:t>
      </w:r>
    </w:p>
    <w:p>
      <w:pPr>
        <w:spacing w:after="0" w:line="242" w:lineRule="auto"/>
        <w:jc w:val="both"/>
        <w:sectPr>
          <w:pgSz w:w="11900" w:h="16840"/>
          <w:pgMar w:header="0" w:footer="996" w:top="940" w:bottom="1180" w:left="1300" w:right="1300"/>
        </w:sectPr>
      </w:pPr>
    </w:p>
    <w:p>
      <w:pPr>
        <w:pStyle w:val="BodyText"/>
        <w:spacing w:line="249" w:lineRule="auto" w:before="56"/>
        <w:ind w:left="115" w:right="113"/>
        <w:jc w:val="both"/>
      </w:pPr>
      <w:r>
        <w:rPr/>
        <w:t>Sigortacının  bildirimleri  de  sigortalıya  karşı yapılacaksa  sigortalının,  sigorta  ettirene  karşı yapılacaksa sigorta ettirenin son bildirilen adresine noter eliyle veya taahhütlü mektupla yapılır.</w:t>
      </w:r>
    </w:p>
    <w:p>
      <w:pPr>
        <w:pStyle w:val="BodyText"/>
        <w:spacing w:before="1"/>
        <w:rPr>
          <w:sz w:val="25"/>
        </w:rPr>
      </w:pPr>
    </w:p>
    <w:p>
      <w:pPr>
        <w:pStyle w:val="BodyText"/>
        <w:spacing w:line="249" w:lineRule="auto" w:before="1"/>
        <w:ind w:left="115" w:right="108"/>
        <w:jc w:val="both"/>
      </w:pPr>
      <w:r>
        <w:rPr/>
        <w:t>Taraflara imza karşılığı elden verilen mektup veya  telgrafla  yapılan  bildirimler  de  taahhütlü mektup</w:t>
      </w:r>
      <w:r>
        <w:rPr>
          <w:spacing w:val="-11"/>
        </w:rPr>
        <w:t> </w:t>
      </w:r>
      <w:r>
        <w:rPr/>
        <w:t>hükmündedir.</w:t>
      </w:r>
    </w:p>
    <w:p>
      <w:pPr>
        <w:pStyle w:val="BodyText"/>
        <w:spacing w:before="1"/>
        <w:rPr>
          <w:sz w:val="25"/>
        </w:rPr>
      </w:pPr>
    </w:p>
    <w:p>
      <w:pPr>
        <w:pStyle w:val="BodyText"/>
        <w:spacing w:line="249" w:lineRule="auto" w:before="1"/>
        <w:ind w:left="115" w:right="106"/>
        <w:jc w:val="both"/>
      </w:pPr>
      <w:r>
        <w:rPr/>
        <w:t>Güvenli elektronik imza kullanılarak elektronik ortamda yapılan ve sigortacıya, sigortalıya ve sigorta ettirene ulaştığı kanıtlanabilen bildirimler de geçerli sayılır.</w:t>
      </w:r>
    </w:p>
    <w:p>
      <w:pPr>
        <w:pStyle w:val="BodyText"/>
        <w:spacing w:before="8"/>
      </w:pPr>
    </w:p>
    <w:p>
      <w:pPr>
        <w:pStyle w:val="Heading1"/>
        <w:numPr>
          <w:ilvl w:val="1"/>
          <w:numId w:val="9"/>
        </w:numPr>
        <w:tabs>
          <w:tab w:pos="592" w:val="left" w:leader="none"/>
        </w:tabs>
        <w:spacing w:line="240" w:lineRule="auto" w:before="0" w:after="0"/>
        <w:ind w:left="591" w:right="0" w:hanging="475"/>
        <w:jc w:val="both"/>
      </w:pPr>
      <w:r>
        <w:rPr/>
        <w:t>Sigorta Sözleşmesinin Son</w:t>
      </w:r>
      <w:r>
        <w:rPr>
          <w:spacing w:val="-15"/>
        </w:rPr>
        <w:t> </w:t>
      </w:r>
      <w:r>
        <w:rPr/>
        <w:t>Bulması</w:t>
      </w:r>
    </w:p>
    <w:p>
      <w:pPr>
        <w:pStyle w:val="BodyText"/>
        <w:rPr>
          <w:b/>
        </w:rPr>
      </w:pPr>
    </w:p>
    <w:p>
      <w:pPr>
        <w:pStyle w:val="BodyText"/>
        <w:spacing w:line="274" w:lineRule="exact"/>
        <w:ind w:left="115" w:right="115"/>
        <w:jc w:val="both"/>
      </w:pPr>
      <w:r>
        <w:rPr/>
        <w:t>Sigorta sözleşmesi; poliçede tanımlanan mesleki faaliyete son verilmesi, sigortacının iflası, sözleşmenin feshi ve sözleşmeden cayılma hâllerinde son bulur.</w:t>
      </w:r>
    </w:p>
    <w:p>
      <w:pPr>
        <w:pStyle w:val="BodyText"/>
        <w:spacing w:before="6"/>
      </w:pPr>
    </w:p>
    <w:p>
      <w:pPr>
        <w:pStyle w:val="BodyText"/>
        <w:spacing w:line="249" w:lineRule="auto"/>
        <w:ind w:left="115" w:right="106"/>
        <w:jc w:val="both"/>
      </w:pPr>
      <w:r>
        <w:rPr/>
        <w:t>Mevzuattan  kaynaklanan özel  hükümler   saklı kalmak   kaydıyla   sözleşmenin   son  bulması durumunda     işlemeyen     günlere     </w:t>
      </w:r>
      <w:r>
        <w:rPr>
          <w:spacing w:val="-2"/>
        </w:rPr>
        <w:t>ait     </w:t>
      </w:r>
      <w:r>
        <w:rPr/>
        <w:t>prim     sigorta     ettirene     iade  </w:t>
      </w:r>
      <w:r>
        <w:rPr>
          <w:spacing w:val="21"/>
        </w:rPr>
        <w:t> </w:t>
      </w:r>
      <w:r>
        <w:rPr/>
        <w:t>olunur.</w:t>
      </w:r>
    </w:p>
    <w:p>
      <w:pPr>
        <w:pStyle w:val="BodyText"/>
        <w:spacing w:before="8"/>
      </w:pPr>
    </w:p>
    <w:p>
      <w:pPr>
        <w:pStyle w:val="Heading1"/>
        <w:numPr>
          <w:ilvl w:val="1"/>
          <w:numId w:val="9"/>
        </w:numPr>
        <w:tabs>
          <w:tab w:pos="592" w:val="left" w:leader="none"/>
        </w:tabs>
        <w:spacing w:line="240" w:lineRule="auto" w:before="0" w:after="0"/>
        <w:ind w:left="591" w:right="0" w:hanging="475"/>
        <w:jc w:val="both"/>
      </w:pPr>
      <w:r>
        <w:rPr/>
        <w:t>Özel Fesih</w:t>
      </w:r>
      <w:r>
        <w:rPr>
          <w:spacing w:val="-15"/>
        </w:rPr>
        <w:t> </w:t>
      </w:r>
      <w:r>
        <w:rPr/>
        <w:t>Nedenleri</w:t>
      </w:r>
    </w:p>
    <w:p>
      <w:pPr>
        <w:pStyle w:val="BodyText"/>
        <w:spacing w:before="6"/>
        <w:rPr>
          <w:b/>
          <w:sz w:val="23"/>
        </w:rPr>
      </w:pPr>
    </w:p>
    <w:p>
      <w:pPr>
        <w:pStyle w:val="BodyText"/>
        <w:spacing w:line="242" w:lineRule="auto"/>
        <w:ind w:left="115" w:right="114"/>
        <w:jc w:val="both"/>
      </w:pPr>
      <w:r>
        <w:rPr/>
        <w:t>Sigorta  ettiren,  sigortacının   sorumluluğu   başlamadan önce,   kararlaştırılmış primin yarısını ödeyerek sözleşmeden cayabilir.</w:t>
      </w:r>
    </w:p>
    <w:p>
      <w:pPr>
        <w:pStyle w:val="BodyText"/>
        <w:spacing w:before="7"/>
      </w:pPr>
    </w:p>
    <w:p>
      <w:pPr>
        <w:pStyle w:val="BodyText"/>
        <w:spacing w:line="249" w:lineRule="auto"/>
        <w:ind w:left="115" w:right="104"/>
        <w:jc w:val="both"/>
      </w:pPr>
      <w:r>
        <w:rPr/>
        <w:t>Sigortacının, konkordato ilan etmesi, ilgili sigorta dalına ilişkin ruhsatının iptal edilmesi veya sözleşme yapma yetkisinin kaldırılması gibi hâllerde; sigorta ettiren, bu olguları öğrendiği tarihten itibaren bir ay içinde sigorta sözleşmesini feshedebilir.</w:t>
      </w:r>
    </w:p>
    <w:p>
      <w:pPr>
        <w:pStyle w:val="BodyText"/>
        <w:spacing w:before="1"/>
        <w:rPr>
          <w:sz w:val="25"/>
        </w:rPr>
      </w:pPr>
    </w:p>
    <w:p>
      <w:pPr>
        <w:pStyle w:val="BodyText"/>
        <w:spacing w:line="249" w:lineRule="auto" w:before="1"/>
        <w:ind w:left="115" w:right="105"/>
        <w:jc w:val="both"/>
      </w:pPr>
      <w:r>
        <w:rPr/>
        <w:t>Sigorta ettiren, aciz hâline düşen veya hakkında yapılan takip semeresiz kalan sigortacıdan, taahhüdünün yerine getirileceğine ilişkin teminat isteyebilir. Bu istemden itibaren bir hafta içinde teminat verilmemiş ise sigorta ettiren sözleşmeyi feshedebilir.</w:t>
      </w:r>
    </w:p>
    <w:p>
      <w:pPr>
        <w:pStyle w:val="BodyText"/>
        <w:spacing w:before="8"/>
      </w:pPr>
    </w:p>
    <w:p>
      <w:pPr>
        <w:pStyle w:val="Heading1"/>
        <w:numPr>
          <w:ilvl w:val="1"/>
          <w:numId w:val="9"/>
        </w:numPr>
        <w:tabs>
          <w:tab w:pos="597" w:val="left" w:leader="none"/>
        </w:tabs>
        <w:spacing w:line="240" w:lineRule="auto" w:before="0" w:after="0"/>
        <w:ind w:left="596" w:right="0" w:hanging="480"/>
        <w:jc w:val="both"/>
      </w:pPr>
      <w:r>
        <w:rPr/>
        <w:t>Ticari ve Mesleki Sırların Saklı</w:t>
      </w:r>
      <w:r>
        <w:rPr>
          <w:spacing w:val="-30"/>
        </w:rPr>
        <w:t> </w:t>
      </w:r>
      <w:r>
        <w:rPr/>
        <w:t>Tutulması</w:t>
      </w:r>
    </w:p>
    <w:p>
      <w:pPr>
        <w:pStyle w:val="BodyText"/>
        <w:spacing w:before="6"/>
        <w:rPr>
          <w:b/>
          <w:sz w:val="23"/>
        </w:rPr>
      </w:pPr>
    </w:p>
    <w:p>
      <w:pPr>
        <w:pStyle w:val="BodyText"/>
        <w:ind w:left="115" w:right="100"/>
        <w:jc w:val="both"/>
      </w:pPr>
      <w:r>
        <w:rPr/>
        <w:t>Sigortacı </w:t>
      </w:r>
      <w:r>
        <w:rPr>
          <w:spacing w:val="-3"/>
        </w:rPr>
        <w:t>ve </w:t>
      </w:r>
      <w:r>
        <w:rPr/>
        <w:t>sigortacı adına hareket edenler </w:t>
      </w:r>
      <w:r>
        <w:rPr>
          <w:spacing w:val="-3"/>
        </w:rPr>
        <w:t>bu </w:t>
      </w:r>
      <w:r>
        <w:rPr/>
        <w:t>sözleşmenin yapılması dolayısıyla sigortalıya  </w:t>
      </w:r>
      <w:r>
        <w:rPr>
          <w:spacing w:val="-3"/>
        </w:rPr>
        <w:t>ve </w:t>
      </w:r>
      <w:r>
        <w:rPr/>
        <w:t>sigorta ettirene ilişkin öğreneceği sırların saklı tutulmamasından doğacak zararlardan sorumludur.</w:t>
      </w:r>
    </w:p>
    <w:p>
      <w:pPr>
        <w:pStyle w:val="Heading1"/>
        <w:numPr>
          <w:ilvl w:val="1"/>
          <w:numId w:val="9"/>
        </w:numPr>
        <w:tabs>
          <w:tab w:pos="597" w:val="left" w:leader="none"/>
        </w:tabs>
        <w:spacing w:line="240" w:lineRule="auto" w:before="199" w:after="0"/>
        <w:ind w:left="596" w:right="0" w:hanging="480"/>
        <w:jc w:val="both"/>
      </w:pPr>
      <w:r>
        <w:rPr/>
        <w:t>Zamanaşımı</w:t>
      </w:r>
    </w:p>
    <w:p>
      <w:pPr>
        <w:pStyle w:val="BodyText"/>
        <w:spacing w:before="6"/>
        <w:rPr>
          <w:b/>
          <w:sz w:val="23"/>
        </w:rPr>
      </w:pPr>
    </w:p>
    <w:p>
      <w:pPr>
        <w:pStyle w:val="BodyText"/>
        <w:ind w:left="115" w:right="99"/>
        <w:jc w:val="both"/>
      </w:pPr>
      <w:r>
        <w:rPr/>
        <w:t>Sigorta sözleşmesinden doğan bütün istemler, alacağın muaccel olduğu tarihten başlayarak iki yıl ve sigorta tazminatına ilişkin istemler her halde rizikonun gerçekleştiği tarihten itibaren on yıl geçmekle zaman aşımına uğrar.</w:t>
      </w:r>
    </w:p>
    <w:p>
      <w:pPr>
        <w:pStyle w:val="BodyText"/>
        <w:spacing w:before="4"/>
      </w:pPr>
    </w:p>
    <w:p>
      <w:pPr>
        <w:pStyle w:val="Heading1"/>
        <w:numPr>
          <w:ilvl w:val="1"/>
          <w:numId w:val="9"/>
        </w:numPr>
        <w:tabs>
          <w:tab w:pos="712" w:val="left" w:leader="none"/>
        </w:tabs>
        <w:spacing w:line="240" w:lineRule="auto" w:before="1" w:after="0"/>
        <w:ind w:left="711" w:right="0" w:hanging="595"/>
        <w:jc w:val="both"/>
      </w:pPr>
      <w:r>
        <w:rPr/>
        <w:t>Özel</w:t>
      </w:r>
      <w:r>
        <w:rPr>
          <w:spacing w:val="-6"/>
        </w:rPr>
        <w:t> </w:t>
      </w:r>
      <w:r>
        <w:rPr/>
        <w:t>Şartlar</w:t>
      </w:r>
    </w:p>
    <w:p>
      <w:pPr>
        <w:pStyle w:val="BodyText"/>
        <w:spacing w:before="7"/>
        <w:rPr>
          <w:b/>
          <w:sz w:val="25"/>
        </w:rPr>
      </w:pPr>
    </w:p>
    <w:p>
      <w:pPr>
        <w:pStyle w:val="BodyText"/>
        <w:ind w:left="115"/>
        <w:jc w:val="both"/>
      </w:pPr>
      <w:r>
        <w:rPr/>
        <w:t>Taraflar, sigorta ettiren ve sigortalının aleyhine olmamak üzere özel şartlar kararlaştırabilir.</w:t>
      </w:r>
    </w:p>
    <w:sectPr>
      <w:pgSz w:w="11900" w:h="16840"/>
      <w:pgMar w:header="0" w:footer="996" w:top="94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400024pt;margin-top:781.183899pt;width:10pt;height:14pt;mso-position-horizontal-relative:page;mso-position-vertical-relative:page;z-index:-700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400024pt;margin-top:781.183899pt;width:10pt;height:14pt;mso-position-horizontal-relative:page;mso-position-vertical-relative:page;z-index:-6976"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3"/>
      <w:numFmt w:val="upperLetter"/>
      <w:lvlText w:val="%1."/>
      <w:lvlJc w:val="left"/>
      <w:pPr>
        <w:ind w:left="413" w:hanging="298"/>
        <w:jc w:val="left"/>
      </w:pPr>
      <w:rPr>
        <w:rFonts w:hint="default" w:ascii="Times New Roman" w:hAnsi="Times New Roman" w:eastAsia="Times New Roman" w:cs="Times New Roman"/>
        <w:b/>
        <w:bCs/>
        <w:spacing w:val="-1"/>
        <w:w w:val="99"/>
        <w:sz w:val="24"/>
        <w:szCs w:val="24"/>
      </w:rPr>
    </w:lvl>
    <w:lvl w:ilvl="1">
      <w:start w:val="1"/>
      <w:numFmt w:val="decimal"/>
      <w:lvlText w:val="%1.%2."/>
      <w:lvlJc w:val="left"/>
      <w:pPr>
        <w:ind w:left="591" w:hanging="476"/>
        <w:jc w:val="left"/>
      </w:pPr>
      <w:rPr>
        <w:rFonts w:hint="default" w:ascii="Times New Roman" w:hAnsi="Times New Roman" w:eastAsia="Times New Roman" w:cs="Times New Roman"/>
        <w:b/>
        <w:bCs/>
        <w:spacing w:val="-6"/>
        <w:w w:val="99"/>
        <w:sz w:val="24"/>
        <w:szCs w:val="24"/>
      </w:rPr>
    </w:lvl>
    <w:lvl w:ilvl="2">
      <w:start w:val="0"/>
      <w:numFmt w:val="bullet"/>
      <w:lvlText w:val="•"/>
      <w:lvlJc w:val="left"/>
      <w:pPr>
        <w:ind w:left="1568" w:hanging="476"/>
      </w:pPr>
      <w:rPr>
        <w:rFonts w:hint="default"/>
      </w:rPr>
    </w:lvl>
    <w:lvl w:ilvl="3">
      <w:start w:val="0"/>
      <w:numFmt w:val="bullet"/>
      <w:lvlText w:val="•"/>
      <w:lvlJc w:val="left"/>
      <w:pPr>
        <w:ind w:left="2537" w:hanging="476"/>
      </w:pPr>
      <w:rPr>
        <w:rFonts w:hint="default"/>
      </w:rPr>
    </w:lvl>
    <w:lvl w:ilvl="4">
      <w:start w:val="0"/>
      <w:numFmt w:val="bullet"/>
      <w:lvlText w:val="•"/>
      <w:lvlJc w:val="left"/>
      <w:pPr>
        <w:ind w:left="3506" w:hanging="476"/>
      </w:pPr>
      <w:rPr>
        <w:rFonts w:hint="default"/>
      </w:rPr>
    </w:lvl>
    <w:lvl w:ilvl="5">
      <w:start w:val="0"/>
      <w:numFmt w:val="bullet"/>
      <w:lvlText w:val="•"/>
      <w:lvlJc w:val="left"/>
      <w:pPr>
        <w:ind w:left="4475" w:hanging="476"/>
      </w:pPr>
      <w:rPr>
        <w:rFonts w:hint="default"/>
      </w:rPr>
    </w:lvl>
    <w:lvl w:ilvl="6">
      <w:start w:val="0"/>
      <w:numFmt w:val="bullet"/>
      <w:lvlText w:val="•"/>
      <w:lvlJc w:val="left"/>
      <w:pPr>
        <w:ind w:left="5444" w:hanging="476"/>
      </w:pPr>
      <w:rPr>
        <w:rFonts w:hint="default"/>
      </w:rPr>
    </w:lvl>
    <w:lvl w:ilvl="7">
      <w:start w:val="0"/>
      <w:numFmt w:val="bullet"/>
      <w:lvlText w:val="•"/>
      <w:lvlJc w:val="left"/>
      <w:pPr>
        <w:ind w:left="6413" w:hanging="476"/>
      </w:pPr>
      <w:rPr>
        <w:rFonts w:hint="default"/>
      </w:rPr>
    </w:lvl>
    <w:lvl w:ilvl="8">
      <w:start w:val="0"/>
      <w:numFmt w:val="bullet"/>
      <w:lvlText w:val="•"/>
      <w:lvlJc w:val="left"/>
      <w:pPr>
        <w:ind w:left="7382" w:hanging="476"/>
      </w:pPr>
      <w:rPr>
        <w:rFonts w:hint="default"/>
      </w:rPr>
    </w:lvl>
  </w:abstractNum>
  <w:abstractNum w:abstractNumId="7">
    <w:multiLevelType w:val="hybridMultilevel"/>
    <w:lvl w:ilvl="0">
      <w:start w:val="2"/>
      <w:numFmt w:val="upperLetter"/>
      <w:lvlText w:val="%1"/>
      <w:lvlJc w:val="left"/>
      <w:pPr>
        <w:ind w:left="581" w:hanging="466"/>
        <w:jc w:val="left"/>
      </w:pPr>
      <w:rPr>
        <w:rFonts w:hint="default"/>
      </w:rPr>
    </w:lvl>
    <w:lvl w:ilvl="1">
      <w:start w:val="4"/>
      <w:numFmt w:val="decimal"/>
      <w:lvlText w:val="%1.%2."/>
      <w:lvlJc w:val="left"/>
      <w:pPr>
        <w:ind w:left="581" w:hanging="466"/>
        <w:jc w:val="left"/>
      </w:pPr>
      <w:rPr>
        <w:rFonts w:hint="default" w:ascii="Times New Roman" w:hAnsi="Times New Roman" w:eastAsia="Times New Roman" w:cs="Times New Roman"/>
        <w:b/>
        <w:bCs/>
        <w:spacing w:val="-5"/>
        <w:w w:val="100"/>
        <w:sz w:val="24"/>
        <w:szCs w:val="24"/>
      </w:rPr>
    </w:lvl>
    <w:lvl w:ilvl="2">
      <w:start w:val="0"/>
      <w:numFmt w:val="bullet"/>
      <w:lvlText w:val="•"/>
      <w:lvlJc w:val="left"/>
      <w:pPr>
        <w:ind w:left="2328" w:hanging="466"/>
      </w:pPr>
      <w:rPr>
        <w:rFonts w:hint="default"/>
      </w:rPr>
    </w:lvl>
    <w:lvl w:ilvl="3">
      <w:start w:val="0"/>
      <w:numFmt w:val="bullet"/>
      <w:lvlText w:val="•"/>
      <w:lvlJc w:val="left"/>
      <w:pPr>
        <w:ind w:left="3202" w:hanging="466"/>
      </w:pPr>
      <w:rPr>
        <w:rFonts w:hint="default"/>
      </w:rPr>
    </w:lvl>
    <w:lvl w:ilvl="4">
      <w:start w:val="0"/>
      <w:numFmt w:val="bullet"/>
      <w:lvlText w:val="•"/>
      <w:lvlJc w:val="left"/>
      <w:pPr>
        <w:ind w:left="4076" w:hanging="466"/>
      </w:pPr>
      <w:rPr>
        <w:rFonts w:hint="default"/>
      </w:rPr>
    </w:lvl>
    <w:lvl w:ilvl="5">
      <w:start w:val="0"/>
      <w:numFmt w:val="bullet"/>
      <w:lvlText w:val="•"/>
      <w:lvlJc w:val="left"/>
      <w:pPr>
        <w:ind w:left="4950" w:hanging="466"/>
      </w:pPr>
      <w:rPr>
        <w:rFonts w:hint="default"/>
      </w:rPr>
    </w:lvl>
    <w:lvl w:ilvl="6">
      <w:start w:val="0"/>
      <w:numFmt w:val="bullet"/>
      <w:lvlText w:val="•"/>
      <w:lvlJc w:val="left"/>
      <w:pPr>
        <w:ind w:left="5824" w:hanging="466"/>
      </w:pPr>
      <w:rPr>
        <w:rFonts w:hint="default"/>
      </w:rPr>
    </w:lvl>
    <w:lvl w:ilvl="7">
      <w:start w:val="0"/>
      <w:numFmt w:val="bullet"/>
      <w:lvlText w:val="•"/>
      <w:lvlJc w:val="left"/>
      <w:pPr>
        <w:ind w:left="6698" w:hanging="466"/>
      </w:pPr>
      <w:rPr>
        <w:rFonts w:hint="default"/>
      </w:rPr>
    </w:lvl>
    <w:lvl w:ilvl="8">
      <w:start w:val="0"/>
      <w:numFmt w:val="bullet"/>
      <w:lvlText w:val="•"/>
      <w:lvlJc w:val="left"/>
      <w:pPr>
        <w:ind w:left="7572" w:hanging="466"/>
      </w:pPr>
      <w:rPr>
        <w:rFonts w:hint="default"/>
      </w:rPr>
    </w:lvl>
  </w:abstractNum>
  <w:abstractNum w:abstractNumId="6">
    <w:multiLevelType w:val="hybridMultilevel"/>
    <w:lvl w:ilvl="0">
      <w:start w:val="1"/>
      <w:numFmt w:val="lowerLetter"/>
      <w:lvlText w:val="%1)"/>
      <w:lvlJc w:val="left"/>
      <w:pPr>
        <w:ind w:left="116" w:hanging="25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40" w:hanging="250"/>
      </w:pPr>
      <w:rPr>
        <w:rFonts w:hint="default"/>
      </w:rPr>
    </w:lvl>
    <w:lvl w:ilvl="2">
      <w:start w:val="0"/>
      <w:numFmt w:val="bullet"/>
      <w:lvlText w:val="•"/>
      <w:lvlJc w:val="left"/>
      <w:pPr>
        <w:ind w:left="1960" w:hanging="250"/>
      </w:pPr>
      <w:rPr>
        <w:rFonts w:hint="default"/>
      </w:rPr>
    </w:lvl>
    <w:lvl w:ilvl="3">
      <w:start w:val="0"/>
      <w:numFmt w:val="bullet"/>
      <w:lvlText w:val="•"/>
      <w:lvlJc w:val="left"/>
      <w:pPr>
        <w:ind w:left="2880" w:hanging="250"/>
      </w:pPr>
      <w:rPr>
        <w:rFonts w:hint="default"/>
      </w:rPr>
    </w:lvl>
    <w:lvl w:ilvl="4">
      <w:start w:val="0"/>
      <w:numFmt w:val="bullet"/>
      <w:lvlText w:val="•"/>
      <w:lvlJc w:val="left"/>
      <w:pPr>
        <w:ind w:left="3800" w:hanging="250"/>
      </w:pPr>
      <w:rPr>
        <w:rFonts w:hint="default"/>
      </w:rPr>
    </w:lvl>
    <w:lvl w:ilvl="5">
      <w:start w:val="0"/>
      <w:numFmt w:val="bullet"/>
      <w:lvlText w:val="•"/>
      <w:lvlJc w:val="left"/>
      <w:pPr>
        <w:ind w:left="4720" w:hanging="250"/>
      </w:pPr>
      <w:rPr>
        <w:rFonts w:hint="default"/>
      </w:rPr>
    </w:lvl>
    <w:lvl w:ilvl="6">
      <w:start w:val="0"/>
      <w:numFmt w:val="bullet"/>
      <w:lvlText w:val="•"/>
      <w:lvlJc w:val="left"/>
      <w:pPr>
        <w:ind w:left="5640" w:hanging="250"/>
      </w:pPr>
      <w:rPr>
        <w:rFonts w:hint="default"/>
      </w:rPr>
    </w:lvl>
    <w:lvl w:ilvl="7">
      <w:start w:val="0"/>
      <w:numFmt w:val="bullet"/>
      <w:lvlText w:val="•"/>
      <w:lvlJc w:val="left"/>
      <w:pPr>
        <w:ind w:left="6560" w:hanging="250"/>
      </w:pPr>
      <w:rPr>
        <w:rFonts w:hint="default"/>
      </w:rPr>
    </w:lvl>
    <w:lvl w:ilvl="8">
      <w:start w:val="0"/>
      <w:numFmt w:val="bullet"/>
      <w:lvlText w:val="•"/>
      <w:lvlJc w:val="left"/>
      <w:pPr>
        <w:ind w:left="7480" w:hanging="250"/>
      </w:pPr>
      <w:rPr>
        <w:rFonts w:hint="default"/>
      </w:rPr>
    </w:lvl>
  </w:abstractNum>
  <w:abstractNum w:abstractNumId="5">
    <w:multiLevelType w:val="hybridMultilevel"/>
    <w:lvl w:ilvl="0">
      <w:start w:val="2"/>
      <w:numFmt w:val="upperLetter"/>
      <w:lvlText w:val="%1"/>
      <w:lvlJc w:val="left"/>
      <w:pPr>
        <w:ind w:left="581" w:hanging="466"/>
        <w:jc w:val="left"/>
      </w:pPr>
      <w:rPr>
        <w:rFonts w:hint="default"/>
      </w:rPr>
    </w:lvl>
    <w:lvl w:ilvl="1">
      <w:start w:val="1"/>
      <w:numFmt w:val="decimal"/>
      <w:lvlText w:val="%1.%2."/>
      <w:lvlJc w:val="left"/>
      <w:pPr>
        <w:ind w:left="581" w:hanging="466"/>
        <w:jc w:val="left"/>
      </w:pPr>
      <w:rPr>
        <w:rFonts w:hint="default" w:ascii="Times New Roman" w:hAnsi="Times New Roman" w:eastAsia="Times New Roman" w:cs="Times New Roman"/>
        <w:b/>
        <w:bCs/>
        <w:spacing w:val="-5"/>
        <w:w w:val="100"/>
        <w:sz w:val="24"/>
        <w:szCs w:val="24"/>
      </w:rPr>
    </w:lvl>
    <w:lvl w:ilvl="2">
      <w:start w:val="1"/>
      <w:numFmt w:val="decimal"/>
      <w:lvlText w:val="%1.%2.%3."/>
      <w:lvlJc w:val="left"/>
      <w:pPr>
        <w:ind w:left="759" w:hanging="644"/>
        <w:jc w:val="left"/>
      </w:pPr>
      <w:rPr>
        <w:rFonts w:hint="default" w:ascii="Times New Roman" w:hAnsi="Times New Roman" w:eastAsia="Times New Roman" w:cs="Times New Roman"/>
        <w:b/>
        <w:bCs/>
        <w:spacing w:val="-6"/>
        <w:w w:val="99"/>
        <w:sz w:val="24"/>
        <w:szCs w:val="24"/>
      </w:rPr>
    </w:lvl>
    <w:lvl w:ilvl="3">
      <w:start w:val="0"/>
      <w:numFmt w:val="bullet"/>
      <w:lvlText w:val="•"/>
      <w:lvlJc w:val="left"/>
      <w:pPr>
        <w:ind w:left="2657" w:hanging="644"/>
      </w:pPr>
      <w:rPr>
        <w:rFonts w:hint="default"/>
      </w:rPr>
    </w:lvl>
    <w:lvl w:ilvl="4">
      <w:start w:val="0"/>
      <w:numFmt w:val="bullet"/>
      <w:lvlText w:val="•"/>
      <w:lvlJc w:val="left"/>
      <w:pPr>
        <w:ind w:left="3606" w:hanging="644"/>
      </w:pPr>
      <w:rPr>
        <w:rFonts w:hint="default"/>
      </w:rPr>
    </w:lvl>
    <w:lvl w:ilvl="5">
      <w:start w:val="0"/>
      <w:numFmt w:val="bullet"/>
      <w:lvlText w:val="•"/>
      <w:lvlJc w:val="left"/>
      <w:pPr>
        <w:ind w:left="4555" w:hanging="644"/>
      </w:pPr>
      <w:rPr>
        <w:rFonts w:hint="default"/>
      </w:rPr>
    </w:lvl>
    <w:lvl w:ilvl="6">
      <w:start w:val="0"/>
      <w:numFmt w:val="bullet"/>
      <w:lvlText w:val="•"/>
      <w:lvlJc w:val="left"/>
      <w:pPr>
        <w:ind w:left="5504" w:hanging="644"/>
      </w:pPr>
      <w:rPr>
        <w:rFonts w:hint="default"/>
      </w:rPr>
    </w:lvl>
    <w:lvl w:ilvl="7">
      <w:start w:val="0"/>
      <w:numFmt w:val="bullet"/>
      <w:lvlText w:val="•"/>
      <w:lvlJc w:val="left"/>
      <w:pPr>
        <w:ind w:left="6453" w:hanging="644"/>
      </w:pPr>
      <w:rPr>
        <w:rFonts w:hint="default"/>
      </w:rPr>
    </w:lvl>
    <w:lvl w:ilvl="8">
      <w:start w:val="0"/>
      <w:numFmt w:val="bullet"/>
      <w:lvlText w:val="•"/>
      <w:lvlJc w:val="left"/>
      <w:pPr>
        <w:ind w:left="7402" w:hanging="644"/>
      </w:pPr>
      <w:rPr>
        <w:rFonts w:hint="default"/>
      </w:rPr>
    </w:lvl>
  </w:abstractNum>
  <w:abstractNum w:abstractNumId="4">
    <w:multiLevelType w:val="hybridMultilevel"/>
    <w:lvl w:ilvl="0">
      <w:start w:val="1"/>
      <w:numFmt w:val="lowerLetter"/>
      <w:lvlText w:val="%1)"/>
      <w:lvlJc w:val="left"/>
      <w:pPr>
        <w:ind w:left="116" w:hanging="25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40" w:hanging="250"/>
      </w:pPr>
      <w:rPr>
        <w:rFonts w:hint="default"/>
      </w:rPr>
    </w:lvl>
    <w:lvl w:ilvl="2">
      <w:start w:val="0"/>
      <w:numFmt w:val="bullet"/>
      <w:lvlText w:val="•"/>
      <w:lvlJc w:val="left"/>
      <w:pPr>
        <w:ind w:left="1960" w:hanging="250"/>
      </w:pPr>
      <w:rPr>
        <w:rFonts w:hint="default"/>
      </w:rPr>
    </w:lvl>
    <w:lvl w:ilvl="3">
      <w:start w:val="0"/>
      <w:numFmt w:val="bullet"/>
      <w:lvlText w:val="•"/>
      <w:lvlJc w:val="left"/>
      <w:pPr>
        <w:ind w:left="2880" w:hanging="250"/>
      </w:pPr>
      <w:rPr>
        <w:rFonts w:hint="default"/>
      </w:rPr>
    </w:lvl>
    <w:lvl w:ilvl="4">
      <w:start w:val="0"/>
      <w:numFmt w:val="bullet"/>
      <w:lvlText w:val="•"/>
      <w:lvlJc w:val="left"/>
      <w:pPr>
        <w:ind w:left="3800" w:hanging="250"/>
      </w:pPr>
      <w:rPr>
        <w:rFonts w:hint="default"/>
      </w:rPr>
    </w:lvl>
    <w:lvl w:ilvl="5">
      <w:start w:val="0"/>
      <w:numFmt w:val="bullet"/>
      <w:lvlText w:val="•"/>
      <w:lvlJc w:val="left"/>
      <w:pPr>
        <w:ind w:left="4720" w:hanging="250"/>
      </w:pPr>
      <w:rPr>
        <w:rFonts w:hint="default"/>
      </w:rPr>
    </w:lvl>
    <w:lvl w:ilvl="6">
      <w:start w:val="0"/>
      <w:numFmt w:val="bullet"/>
      <w:lvlText w:val="•"/>
      <w:lvlJc w:val="left"/>
      <w:pPr>
        <w:ind w:left="5640" w:hanging="250"/>
      </w:pPr>
      <w:rPr>
        <w:rFonts w:hint="default"/>
      </w:rPr>
    </w:lvl>
    <w:lvl w:ilvl="7">
      <w:start w:val="0"/>
      <w:numFmt w:val="bullet"/>
      <w:lvlText w:val="•"/>
      <w:lvlJc w:val="left"/>
      <w:pPr>
        <w:ind w:left="6560" w:hanging="250"/>
      </w:pPr>
      <w:rPr>
        <w:rFonts w:hint="default"/>
      </w:rPr>
    </w:lvl>
    <w:lvl w:ilvl="8">
      <w:start w:val="0"/>
      <w:numFmt w:val="bullet"/>
      <w:lvlText w:val="•"/>
      <w:lvlJc w:val="left"/>
      <w:pPr>
        <w:ind w:left="7480" w:hanging="250"/>
      </w:pPr>
      <w:rPr>
        <w:rFonts w:hint="default"/>
      </w:rPr>
    </w:lvl>
  </w:abstractNum>
  <w:abstractNum w:abstractNumId="3">
    <w:multiLevelType w:val="hybridMultilevel"/>
    <w:lvl w:ilvl="0">
      <w:start w:val="1"/>
      <w:numFmt w:val="lowerLetter"/>
      <w:lvlText w:val="%1)"/>
      <w:lvlJc w:val="left"/>
      <w:pPr>
        <w:ind w:left="116" w:hanging="255"/>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040" w:hanging="255"/>
      </w:pPr>
      <w:rPr>
        <w:rFonts w:hint="default"/>
      </w:rPr>
    </w:lvl>
    <w:lvl w:ilvl="2">
      <w:start w:val="0"/>
      <w:numFmt w:val="bullet"/>
      <w:lvlText w:val="•"/>
      <w:lvlJc w:val="left"/>
      <w:pPr>
        <w:ind w:left="1960" w:hanging="255"/>
      </w:pPr>
      <w:rPr>
        <w:rFonts w:hint="default"/>
      </w:rPr>
    </w:lvl>
    <w:lvl w:ilvl="3">
      <w:start w:val="0"/>
      <w:numFmt w:val="bullet"/>
      <w:lvlText w:val="•"/>
      <w:lvlJc w:val="left"/>
      <w:pPr>
        <w:ind w:left="2880" w:hanging="255"/>
      </w:pPr>
      <w:rPr>
        <w:rFonts w:hint="default"/>
      </w:rPr>
    </w:lvl>
    <w:lvl w:ilvl="4">
      <w:start w:val="0"/>
      <w:numFmt w:val="bullet"/>
      <w:lvlText w:val="•"/>
      <w:lvlJc w:val="left"/>
      <w:pPr>
        <w:ind w:left="3800" w:hanging="255"/>
      </w:pPr>
      <w:rPr>
        <w:rFonts w:hint="default"/>
      </w:rPr>
    </w:lvl>
    <w:lvl w:ilvl="5">
      <w:start w:val="0"/>
      <w:numFmt w:val="bullet"/>
      <w:lvlText w:val="•"/>
      <w:lvlJc w:val="left"/>
      <w:pPr>
        <w:ind w:left="4720" w:hanging="255"/>
      </w:pPr>
      <w:rPr>
        <w:rFonts w:hint="default"/>
      </w:rPr>
    </w:lvl>
    <w:lvl w:ilvl="6">
      <w:start w:val="0"/>
      <w:numFmt w:val="bullet"/>
      <w:lvlText w:val="•"/>
      <w:lvlJc w:val="left"/>
      <w:pPr>
        <w:ind w:left="5640" w:hanging="255"/>
      </w:pPr>
      <w:rPr>
        <w:rFonts w:hint="default"/>
      </w:rPr>
    </w:lvl>
    <w:lvl w:ilvl="7">
      <w:start w:val="0"/>
      <w:numFmt w:val="bullet"/>
      <w:lvlText w:val="•"/>
      <w:lvlJc w:val="left"/>
      <w:pPr>
        <w:ind w:left="6560" w:hanging="255"/>
      </w:pPr>
      <w:rPr>
        <w:rFonts w:hint="default"/>
      </w:rPr>
    </w:lvl>
    <w:lvl w:ilvl="8">
      <w:start w:val="0"/>
      <w:numFmt w:val="bullet"/>
      <w:lvlText w:val="•"/>
      <w:lvlJc w:val="left"/>
      <w:pPr>
        <w:ind w:left="7480" w:hanging="255"/>
      </w:pPr>
      <w:rPr>
        <w:rFonts w:hint="default"/>
      </w:rPr>
    </w:lvl>
  </w:abstractNum>
  <w:abstractNum w:abstractNumId="2">
    <w:multiLevelType w:val="hybridMultilevel"/>
    <w:lvl w:ilvl="0">
      <w:start w:val="1"/>
      <w:numFmt w:val="lowerLetter"/>
      <w:lvlText w:val="%1)"/>
      <w:lvlJc w:val="left"/>
      <w:pPr>
        <w:ind w:left="116" w:hanging="284"/>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1038" w:hanging="284"/>
      </w:pPr>
      <w:rPr>
        <w:rFonts w:hint="default"/>
      </w:rPr>
    </w:lvl>
    <w:lvl w:ilvl="2">
      <w:start w:val="0"/>
      <w:numFmt w:val="bullet"/>
      <w:lvlText w:val="•"/>
      <w:lvlJc w:val="left"/>
      <w:pPr>
        <w:ind w:left="1956" w:hanging="284"/>
      </w:pPr>
      <w:rPr>
        <w:rFonts w:hint="default"/>
      </w:rPr>
    </w:lvl>
    <w:lvl w:ilvl="3">
      <w:start w:val="0"/>
      <w:numFmt w:val="bullet"/>
      <w:lvlText w:val="•"/>
      <w:lvlJc w:val="left"/>
      <w:pPr>
        <w:ind w:left="2874" w:hanging="284"/>
      </w:pPr>
      <w:rPr>
        <w:rFonts w:hint="default"/>
      </w:rPr>
    </w:lvl>
    <w:lvl w:ilvl="4">
      <w:start w:val="0"/>
      <w:numFmt w:val="bullet"/>
      <w:lvlText w:val="•"/>
      <w:lvlJc w:val="left"/>
      <w:pPr>
        <w:ind w:left="3792" w:hanging="284"/>
      </w:pPr>
      <w:rPr>
        <w:rFonts w:hint="default"/>
      </w:rPr>
    </w:lvl>
    <w:lvl w:ilvl="5">
      <w:start w:val="0"/>
      <w:numFmt w:val="bullet"/>
      <w:lvlText w:val="•"/>
      <w:lvlJc w:val="left"/>
      <w:pPr>
        <w:ind w:left="4710" w:hanging="284"/>
      </w:pPr>
      <w:rPr>
        <w:rFonts w:hint="default"/>
      </w:rPr>
    </w:lvl>
    <w:lvl w:ilvl="6">
      <w:start w:val="0"/>
      <w:numFmt w:val="bullet"/>
      <w:lvlText w:val="•"/>
      <w:lvlJc w:val="left"/>
      <w:pPr>
        <w:ind w:left="5628" w:hanging="284"/>
      </w:pPr>
      <w:rPr>
        <w:rFonts w:hint="default"/>
      </w:rPr>
    </w:lvl>
    <w:lvl w:ilvl="7">
      <w:start w:val="0"/>
      <w:numFmt w:val="bullet"/>
      <w:lvlText w:val="•"/>
      <w:lvlJc w:val="left"/>
      <w:pPr>
        <w:ind w:left="6546" w:hanging="284"/>
      </w:pPr>
      <w:rPr>
        <w:rFonts w:hint="default"/>
      </w:rPr>
    </w:lvl>
    <w:lvl w:ilvl="8">
      <w:start w:val="0"/>
      <w:numFmt w:val="bullet"/>
      <w:lvlText w:val="•"/>
      <w:lvlJc w:val="left"/>
      <w:pPr>
        <w:ind w:left="7464" w:hanging="284"/>
      </w:pPr>
      <w:rPr>
        <w:rFonts w:hint="default"/>
      </w:rPr>
    </w:lvl>
  </w:abstractNum>
  <w:abstractNum w:abstractNumId="1">
    <w:multiLevelType w:val="hybridMultilevel"/>
    <w:lvl w:ilvl="0">
      <w:start w:val="1"/>
      <w:numFmt w:val="lowerLetter"/>
      <w:lvlText w:val="%1)"/>
      <w:lvlJc w:val="left"/>
      <w:pPr>
        <w:ind w:left="116" w:hanging="279"/>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038" w:hanging="279"/>
      </w:pPr>
      <w:rPr>
        <w:rFonts w:hint="default"/>
      </w:rPr>
    </w:lvl>
    <w:lvl w:ilvl="2">
      <w:start w:val="0"/>
      <w:numFmt w:val="bullet"/>
      <w:lvlText w:val="•"/>
      <w:lvlJc w:val="left"/>
      <w:pPr>
        <w:ind w:left="1956" w:hanging="279"/>
      </w:pPr>
      <w:rPr>
        <w:rFonts w:hint="default"/>
      </w:rPr>
    </w:lvl>
    <w:lvl w:ilvl="3">
      <w:start w:val="0"/>
      <w:numFmt w:val="bullet"/>
      <w:lvlText w:val="•"/>
      <w:lvlJc w:val="left"/>
      <w:pPr>
        <w:ind w:left="2874" w:hanging="279"/>
      </w:pPr>
      <w:rPr>
        <w:rFonts w:hint="default"/>
      </w:rPr>
    </w:lvl>
    <w:lvl w:ilvl="4">
      <w:start w:val="0"/>
      <w:numFmt w:val="bullet"/>
      <w:lvlText w:val="•"/>
      <w:lvlJc w:val="left"/>
      <w:pPr>
        <w:ind w:left="3792" w:hanging="279"/>
      </w:pPr>
      <w:rPr>
        <w:rFonts w:hint="default"/>
      </w:rPr>
    </w:lvl>
    <w:lvl w:ilvl="5">
      <w:start w:val="0"/>
      <w:numFmt w:val="bullet"/>
      <w:lvlText w:val="•"/>
      <w:lvlJc w:val="left"/>
      <w:pPr>
        <w:ind w:left="4710" w:hanging="279"/>
      </w:pPr>
      <w:rPr>
        <w:rFonts w:hint="default"/>
      </w:rPr>
    </w:lvl>
    <w:lvl w:ilvl="6">
      <w:start w:val="0"/>
      <w:numFmt w:val="bullet"/>
      <w:lvlText w:val="•"/>
      <w:lvlJc w:val="left"/>
      <w:pPr>
        <w:ind w:left="5628" w:hanging="279"/>
      </w:pPr>
      <w:rPr>
        <w:rFonts w:hint="default"/>
      </w:rPr>
    </w:lvl>
    <w:lvl w:ilvl="7">
      <w:start w:val="0"/>
      <w:numFmt w:val="bullet"/>
      <w:lvlText w:val="•"/>
      <w:lvlJc w:val="left"/>
      <w:pPr>
        <w:ind w:left="6546" w:hanging="279"/>
      </w:pPr>
      <w:rPr>
        <w:rFonts w:hint="default"/>
      </w:rPr>
    </w:lvl>
    <w:lvl w:ilvl="8">
      <w:start w:val="0"/>
      <w:numFmt w:val="bullet"/>
      <w:lvlText w:val="•"/>
      <w:lvlJc w:val="left"/>
      <w:pPr>
        <w:ind w:left="7464" w:hanging="279"/>
      </w:pPr>
      <w:rPr>
        <w:rFonts w:hint="default"/>
      </w:rPr>
    </w:lvl>
  </w:abstractNum>
  <w:abstractNum w:abstractNumId="0">
    <w:multiLevelType w:val="hybridMultilevel"/>
    <w:lvl w:ilvl="0">
      <w:start w:val="1"/>
      <w:numFmt w:val="upperLetter"/>
      <w:lvlText w:val="%1."/>
      <w:lvlJc w:val="left"/>
      <w:pPr>
        <w:ind w:left="413" w:hanging="298"/>
        <w:jc w:val="left"/>
      </w:pPr>
      <w:rPr>
        <w:rFonts w:hint="default" w:ascii="Times New Roman" w:hAnsi="Times New Roman" w:eastAsia="Times New Roman" w:cs="Times New Roman"/>
        <w:b/>
        <w:bCs/>
        <w:spacing w:val="-1"/>
        <w:w w:val="99"/>
        <w:sz w:val="24"/>
        <w:szCs w:val="24"/>
      </w:rPr>
    </w:lvl>
    <w:lvl w:ilvl="1">
      <w:start w:val="1"/>
      <w:numFmt w:val="decimal"/>
      <w:lvlText w:val="%1.%2."/>
      <w:lvlJc w:val="left"/>
      <w:pPr>
        <w:ind w:left="116" w:hanging="476"/>
        <w:jc w:val="left"/>
      </w:pPr>
      <w:rPr>
        <w:rFonts w:hint="default" w:ascii="Times New Roman" w:hAnsi="Times New Roman" w:eastAsia="Times New Roman" w:cs="Times New Roman"/>
        <w:b/>
        <w:bCs/>
        <w:spacing w:val="-6"/>
        <w:w w:val="99"/>
        <w:sz w:val="24"/>
        <w:szCs w:val="24"/>
      </w:rPr>
    </w:lvl>
    <w:lvl w:ilvl="2">
      <w:start w:val="1"/>
      <w:numFmt w:val="decimal"/>
      <w:lvlText w:val="%1.%2.%3"/>
      <w:lvlJc w:val="left"/>
      <w:pPr>
        <w:ind w:left="716" w:hanging="601"/>
        <w:jc w:val="left"/>
      </w:pPr>
      <w:rPr>
        <w:rFonts w:hint="default" w:ascii="Times New Roman" w:hAnsi="Times New Roman" w:eastAsia="Times New Roman" w:cs="Times New Roman"/>
        <w:b/>
        <w:bCs/>
        <w:spacing w:val="-1"/>
        <w:w w:val="99"/>
        <w:sz w:val="24"/>
        <w:szCs w:val="24"/>
      </w:rPr>
    </w:lvl>
    <w:lvl w:ilvl="3">
      <w:start w:val="0"/>
      <w:numFmt w:val="bullet"/>
      <w:lvlText w:val="•"/>
      <w:lvlJc w:val="left"/>
      <w:pPr>
        <w:ind w:left="1792" w:hanging="601"/>
      </w:pPr>
      <w:rPr>
        <w:rFonts w:hint="default"/>
      </w:rPr>
    </w:lvl>
    <w:lvl w:ilvl="4">
      <w:start w:val="0"/>
      <w:numFmt w:val="bullet"/>
      <w:lvlText w:val="•"/>
      <w:lvlJc w:val="left"/>
      <w:pPr>
        <w:ind w:left="2865" w:hanging="601"/>
      </w:pPr>
      <w:rPr>
        <w:rFonts w:hint="default"/>
      </w:rPr>
    </w:lvl>
    <w:lvl w:ilvl="5">
      <w:start w:val="0"/>
      <w:numFmt w:val="bullet"/>
      <w:lvlText w:val="•"/>
      <w:lvlJc w:val="left"/>
      <w:pPr>
        <w:ind w:left="3937" w:hanging="601"/>
      </w:pPr>
      <w:rPr>
        <w:rFonts w:hint="default"/>
      </w:rPr>
    </w:lvl>
    <w:lvl w:ilvl="6">
      <w:start w:val="0"/>
      <w:numFmt w:val="bullet"/>
      <w:lvlText w:val="•"/>
      <w:lvlJc w:val="left"/>
      <w:pPr>
        <w:ind w:left="5010" w:hanging="601"/>
      </w:pPr>
      <w:rPr>
        <w:rFonts w:hint="default"/>
      </w:rPr>
    </w:lvl>
    <w:lvl w:ilvl="7">
      <w:start w:val="0"/>
      <w:numFmt w:val="bullet"/>
      <w:lvlText w:val="•"/>
      <w:lvlJc w:val="left"/>
      <w:pPr>
        <w:ind w:left="6082" w:hanging="601"/>
      </w:pPr>
      <w:rPr>
        <w:rFonts w:hint="default"/>
      </w:rPr>
    </w:lvl>
    <w:lvl w:ilvl="8">
      <w:start w:val="0"/>
      <w:numFmt w:val="bullet"/>
      <w:lvlText w:val="•"/>
      <w:lvlJc w:val="left"/>
      <w:pPr>
        <w:ind w:left="7155" w:hanging="60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591" w:hanging="475"/>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hasan.haner</dc:creator>
  <dc:title>Microsoft Word - Mesleki Sorumluluk Sigortası Genel Şartları_Kamu Gözetimi_22_05_2013.docx</dc:title>
  <dcterms:created xsi:type="dcterms:W3CDTF">2016-06-20T10:19:29Z</dcterms:created>
  <dcterms:modified xsi:type="dcterms:W3CDTF">2016-06-20T10:19:29Z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Creator">
    <vt:lpwstr>Microsoft Word - Mesleki Sorumluluk Sigortası Genel Şartları_Kamu Gözetimi_22_05_2013.docx</vt:lpwstr>
  </property>
  <property fmtid="{D5CDD505-2E9C-101B-9397-08002B2CF9AE}" pid="4" name="LastSaved">
    <vt:filetime>2016-06-20T00:00:00Z</vt:filetime>
  </property>
</Properties>
</file>